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7D0" w:rsidRPr="002C7201" w:rsidRDefault="00CD17D0" w:rsidP="00CD17D0">
      <w:pPr>
        <w:jc w:val="both"/>
        <w:rPr>
          <w:rFonts w:ascii="Arial" w:hAnsi="Arial" w:cs="Arial"/>
          <w:b/>
          <w:szCs w:val="24"/>
          <w:u w:val="single"/>
        </w:rPr>
      </w:pPr>
      <w:r w:rsidRPr="005217D9">
        <w:rPr>
          <w:rFonts w:ascii="Arial" w:hAnsi="Arial" w:cs="Arial"/>
          <w:b/>
          <w:szCs w:val="24"/>
          <w:u w:val="single"/>
        </w:rPr>
        <w:t>Benefits Strategy</w:t>
      </w:r>
    </w:p>
    <w:p w:rsidR="00CD17D0" w:rsidRPr="005E2B13" w:rsidRDefault="00CD17D0" w:rsidP="00CD17D0">
      <w:pPr>
        <w:jc w:val="both"/>
        <w:rPr>
          <w:rFonts w:ascii="Arial" w:hAnsi="Arial" w:cs="Arial"/>
          <w:b/>
          <w:sz w:val="22"/>
          <w:u w:val="single"/>
        </w:rPr>
      </w:pPr>
    </w:p>
    <w:p w:rsidR="00CD17D0" w:rsidRPr="002C7201" w:rsidRDefault="00CD17D0" w:rsidP="00CD17D0">
      <w:pPr>
        <w:jc w:val="both"/>
        <w:rPr>
          <w:rFonts w:ascii="Arial" w:hAnsi="Arial" w:cs="Arial"/>
          <w:b/>
          <w:sz w:val="22"/>
        </w:rPr>
      </w:pPr>
      <w:r w:rsidRPr="005217D9">
        <w:rPr>
          <w:rFonts w:ascii="Arial" w:hAnsi="Arial" w:cs="Arial"/>
          <w:b/>
          <w:sz w:val="22"/>
        </w:rPr>
        <w:t>Medical Insurance</w:t>
      </w:r>
    </w:p>
    <w:p w:rsidR="00CD17D0" w:rsidRPr="005E2B13" w:rsidRDefault="00CD17D0" w:rsidP="00CD17D0">
      <w:pPr>
        <w:rPr>
          <w:rFonts w:ascii="Arial" w:hAnsi="Arial" w:cs="Arial"/>
          <w:sz w:val="22"/>
        </w:rPr>
      </w:pPr>
      <w:r w:rsidRPr="005E2B13">
        <w:rPr>
          <w:rFonts w:ascii="Arial" w:hAnsi="Arial" w:cs="Arial"/>
          <w:sz w:val="22"/>
        </w:rPr>
        <w:t xml:space="preserve">As the medical plan is a critical component of the benefits package, the plan design and employee premium levels of our medical plan are carefully reviewed every year.  The Health Care Executive Committee (HCEC) works routinely with Mr. Tom Mackay, our benefits consultant with </w:t>
      </w:r>
      <w:r w:rsidR="005B7683">
        <w:rPr>
          <w:rFonts w:ascii="Arial" w:hAnsi="Arial" w:cs="Arial"/>
          <w:sz w:val="22"/>
        </w:rPr>
        <w:t xml:space="preserve">KSPH Employee Benefit Management </w:t>
      </w:r>
      <w:r w:rsidRPr="005E2B13">
        <w:rPr>
          <w:rFonts w:ascii="Arial" w:hAnsi="Arial" w:cs="Arial"/>
          <w:sz w:val="22"/>
        </w:rPr>
        <w:t xml:space="preserve">to review our health care plan, claims experience, and reserve balance. The goals of the HCEC in developing our recommendations for the 2010-2011 medical plans </w:t>
      </w:r>
      <w:r>
        <w:rPr>
          <w:rFonts w:ascii="Arial" w:hAnsi="Arial" w:cs="Arial"/>
          <w:sz w:val="22"/>
        </w:rPr>
        <w:t xml:space="preserve">were </w:t>
      </w:r>
      <w:r w:rsidRPr="005E2B13">
        <w:rPr>
          <w:rFonts w:ascii="Arial" w:hAnsi="Arial" w:cs="Arial"/>
          <w:sz w:val="22"/>
        </w:rPr>
        <w:t>to:</w:t>
      </w:r>
    </w:p>
    <w:p w:rsidR="00CD17D0" w:rsidRPr="005E2B13" w:rsidRDefault="00CD17D0" w:rsidP="00CD17D0">
      <w:pPr>
        <w:pStyle w:val="BodyText3"/>
        <w:numPr>
          <w:ilvl w:val="0"/>
          <w:numId w:val="1"/>
        </w:numPr>
        <w:snapToGrid/>
        <w:spacing w:after="0"/>
        <w:rPr>
          <w:rFonts w:ascii="Arial" w:hAnsi="Arial" w:cs="Arial"/>
          <w:sz w:val="22"/>
          <w:szCs w:val="20"/>
        </w:rPr>
      </w:pPr>
      <w:r w:rsidRPr="005E2B13">
        <w:rPr>
          <w:rFonts w:ascii="Arial" w:hAnsi="Arial" w:cs="Arial"/>
          <w:sz w:val="22"/>
          <w:szCs w:val="20"/>
        </w:rPr>
        <w:t>continue to offer affordable and market competitive options</w:t>
      </w:r>
    </w:p>
    <w:p w:rsidR="00CD17D0" w:rsidRPr="005E2B13" w:rsidRDefault="00CD17D0" w:rsidP="00CD17D0">
      <w:pPr>
        <w:pStyle w:val="BodyText3"/>
        <w:numPr>
          <w:ilvl w:val="0"/>
          <w:numId w:val="1"/>
        </w:numPr>
        <w:snapToGrid/>
        <w:spacing w:after="0"/>
        <w:rPr>
          <w:rFonts w:ascii="Arial" w:hAnsi="Arial" w:cs="Arial"/>
          <w:sz w:val="22"/>
          <w:szCs w:val="20"/>
        </w:rPr>
      </w:pPr>
      <w:r w:rsidRPr="005E2B13">
        <w:rPr>
          <w:rFonts w:ascii="Arial" w:hAnsi="Arial" w:cs="Arial"/>
          <w:sz w:val="22"/>
          <w:szCs w:val="20"/>
        </w:rPr>
        <w:t xml:space="preserve">target reserves to approximately 20% of total plan costs </w:t>
      </w:r>
    </w:p>
    <w:p w:rsidR="00CD17D0" w:rsidRPr="005E2B13" w:rsidRDefault="00CD17D0" w:rsidP="00CD17D0">
      <w:pPr>
        <w:pStyle w:val="BodyText3"/>
        <w:numPr>
          <w:ilvl w:val="0"/>
          <w:numId w:val="1"/>
        </w:numPr>
        <w:snapToGrid/>
        <w:spacing w:after="0"/>
        <w:rPr>
          <w:rFonts w:ascii="Arial" w:hAnsi="Arial" w:cs="Arial"/>
          <w:sz w:val="22"/>
          <w:szCs w:val="20"/>
        </w:rPr>
      </w:pPr>
      <w:r w:rsidRPr="005E2B13">
        <w:rPr>
          <w:rFonts w:ascii="Arial" w:hAnsi="Arial" w:cs="Arial"/>
          <w:sz w:val="22"/>
          <w:szCs w:val="20"/>
        </w:rPr>
        <w:t>insure plans are in compliance with Health Care Reform</w:t>
      </w:r>
    </w:p>
    <w:p w:rsidR="00CD17D0" w:rsidRPr="005E2B13" w:rsidRDefault="00CD17D0" w:rsidP="00CD17D0">
      <w:pPr>
        <w:pStyle w:val="BodyText3"/>
        <w:numPr>
          <w:ilvl w:val="0"/>
          <w:numId w:val="1"/>
        </w:numPr>
        <w:snapToGrid/>
        <w:spacing w:after="0"/>
        <w:rPr>
          <w:rFonts w:ascii="Arial" w:hAnsi="Arial" w:cs="Arial"/>
          <w:sz w:val="22"/>
          <w:szCs w:val="20"/>
        </w:rPr>
      </w:pPr>
      <w:r w:rsidRPr="005E2B13">
        <w:rPr>
          <w:rFonts w:ascii="Arial" w:hAnsi="Arial" w:cs="Arial"/>
          <w:sz w:val="22"/>
          <w:szCs w:val="20"/>
        </w:rPr>
        <w:t xml:space="preserve">maintain our competitive position for benefits </w:t>
      </w:r>
      <w:r>
        <w:rPr>
          <w:rFonts w:ascii="Arial" w:hAnsi="Arial" w:cs="Arial"/>
          <w:sz w:val="22"/>
          <w:szCs w:val="20"/>
        </w:rPr>
        <w:t>(slightly above market median)</w:t>
      </w:r>
    </w:p>
    <w:p w:rsidR="00CD17D0" w:rsidRDefault="00CD17D0" w:rsidP="00CD17D0">
      <w:pPr>
        <w:pStyle w:val="BodyText3"/>
        <w:rPr>
          <w:rFonts w:ascii="Arial" w:hAnsi="Arial" w:cs="Arial"/>
          <w:i/>
          <w:sz w:val="22"/>
          <w:szCs w:val="20"/>
          <w:u w:val="single"/>
        </w:rPr>
      </w:pPr>
    </w:p>
    <w:p w:rsidR="00CD17D0" w:rsidRPr="003467B1" w:rsidRDefault="00CD17D0" w:rsidP="00CD17D0">
      <w:pPr>
        <w:pStyle w:val="BodyText3"/>
        <w:rPr>
          <w:rFonts w:ascii="Arial" w:hAnsi="Arial" w:cs="Arial"/>
          <w:sz w:val="22"/>
          <w:szCs w:val="20"/>
          <w:u w:val="single"/>
        </w:rPr>
      </w:pPr>
      <w:r>
        <w:rPr>
          <w:rFonts w:ascii="Arial" w:hAnsi="Arial" w:cs="Arial"/>
          <w:sz w:val="22"/>
          <w:szCs w:val="20"/>
          <w:u w:val="single"/>
        </w:rPr>
        <w:t xml:space="preserve">Medical </w:t>
      </w:r>
      <w:r w:rsidRPr="005217D9">
        <w:rPr>
          <w:rFonts w:ascii="Arial" w:hAnsi="Arial" w:cs="Arial"/>
          <w:sz w:val="22"/>
          <w:szCs w:val="20"/>
          <w:u w:val="single"/>
        </w:rPr>
        <w:t>Plan Design</w:t>
      </w:r>
    </w:p>
    <w:p w:rsidR="00CD17D0" w:rsidRPr="005E2B13" w:rsidRDefault="00CD17D0" w:rsidP="00CD17D0">
      <w:pPr>
        <w:pStyle w:val="BodyText3"/>
        <w:rPr>
          <w:rFonts w:ascii="Arial" w:hAnsi="Arial" w:cs="Arial"/>
          <w:sz w:val="22"/>
          <w:szCs w:val="20"/>
        </w:rPr>
      </w:pPr>
      <w:r w:rsidRPr="005E2B13">
        <w:rPr>
          <w:rFonts w:ascii="Arial" w:hAnsi="Arial" w:cs="Arial"/>
          <w:sz w:val="22"/>
          <w:szCs w:val="20"/>
        </w:rPr>
        <w:t xml:space="preserve">To provide options for employees designed to meet individual needs and offer affordable health care choices three plans with varying deductibles, co-pays and premiums have been offered for several years.  The majority of employees </w:t>
      </w:r>
      <w:r>
        <w:rPr>
          <w:rFonts w:ascii="Arial" w:hAnsi="Arial" w:cs="Arial"/>
          <w:sz w:val="22"/>
          <w:szCs w:val="20"/>
        </w:rPr>
        <w:t>are</w:t>
      </w:r>
      <w:r w:rsidRPr="005E2B13">
        <w:rPr>
          <w:rFonts w:ascii="Arial" w:hAnsi="Arial" w:cs="Arial"/>
          <w:sz w:val="22"/>
          <w:szCs w:val="20"/>
        </w:rPr>
        <w:t xml:space="preserve"> enroll</w:t>
      </w:r>
      <w:r>
        <w:rPr>
          <w:rFonts w:ascii="Arial" w:hAnsi="Arial" w:cs="Arial"/>
          <w:sz w:val="22"/>
          <w:szCs w:val="20"/>
        </w:rPr>
        <w:t>ed</w:t>
      </w:r>
      <w:r w:rsidRPr="005E2B13">
        <w:rPr>
          <w:rFonts w:ascii="Arial" w:hAnsi="Arial" w:cs="Arial"/>
          <w:sz w:val="22"/>
          <w:szCs w:val="20"/>
        </w:rPr>
        <w:t xml:space="preserve"> in the high plan, which has a rich plan design and will need to be modified to remain in line with our market.  In order to maintain comparability with other health plans and for cost savings, the HCEC reviewed a number of plan design changes, particularly to the high plan.  The followi</w:t>
      </w:r>
      <w:r w:rsidR="005B7683">
        <w:rPr>
          <w:rFonts w:ascii="Arial" w:hAnsi="Arial" w:cs="Arial"/>
          <w:sz w:val="22"/>
          <w:szCs w:val="20"/>
        </w:rPr>
        <w:t>ng plan design changes occurred effective October 1, 2010:</w:t>
      </w:r>
    </w:p>
    <w:p w:rsidR="00CD17D0" w:rsidRPr="005E2B13" w:rsidRDefault="00CD17D0" w:rsidP="00CD17D0">
      <w:pPr>
        <w:tabs>
          <w:tab w:val="left" w:pos="720"/>
        </w:tabs>
        <w:rPr>
          <w:rFonts w:ascii="Arial" w:hAnsi="Arial" w:cs="Arial"/>
          <w:sz w:val="22"/>
        </w:rPr>
      </w:pPr>
      <w:r w:rsidRPr="005E2B13">
        <w:rPr>
          <w:rFonts w:ascii="Arial" w:hAnsi="Arial" w:cs="Arial"/>
          <w:sz w:val="22"/>
        </w:rPr>
        <w:t>Changes to High Plan:</w:t>
      </w:r>
    </w:p>
    <w:p w:rsidR="00CD17D0" w:rsidRDefault="00CD17D0" w:rsidP="00CD17D0">
      <w:pPr>
        <w:widowControl/>
        <w:numPr>
          <w:ilvl w:val="0"/>
          <w:numId w:val="6"/>
        </w:numPr>
        <w:snapToGrid/>
        <w:rPr>
          <w:rFonts w:ascii="Arial" w:hAnsi="Arial" w:cs="Arial"/>
          <w:sz w:val="22"/>
        </w:rPr>
      </w:pPr>
      <w:r w:rsidRPr="005E2B13">
        <w:rPr>
          <w:rFonts w:ascii="Arial" w:hAnsi="Arial" w:cs="Arial"/>
          <w:sz w:val="22"/>
        </w:rPr>
        <w:t>Decrease coinsurance (from 100% to 95%)</w:t>
      </w:r>
    </w:p>
    <w:p w:rsidR="00CD17D0" w:rsidRDefault="00CD17D0" w:rsidP="00CD17D0">
      <w:pPr>
        <w:widowControl/>
        <w:numPr>
          <w:ilvl w:val="0"/>
          <w:numId w:val="6"/>
        </w:numPr>
        <w:snapToGrid/>
        <w:rPr>
          <w:rFonts w:ascii="Arial" w:hAnsi="Arial" w:cs="Arial"/>
          <w:sz w:val="22"/>
        </w:rPr>
      </w:pPr>
      <w:r w:rsidRPr="005E2B13">
        <w:rPr>
          <w:rFonts w:ascii="Arial" w:hAnsi="Arial" w:cs="Arial"/>
          <w:sz w:val="22"/>
        </w:rPr>
        <w:t xml:space="preserve">Increase out of pocket maximum (from $1000/$2000 to $1500/$3000) </w:t>
      </w:r>
    </w:p>
    <w:p w:rsidR="00CD17D0" w:rsidRDefault="00CD17D0" w:rsidP="00CD17D0">
      <w:pPr>
        <w:widowControl/>
        <w:numPr>
          <w:ilvl w:val="0"/>
          <w:numId w:val="6"/>
        </w:numPr>
        <w:snapToGrid/>
        <w:rPr>
          <w:rFonts w:ascii="Arial" w:hAnsi="Arial" w:cs="Arial"/>
          <w:sz w:val="22"/>
        </w:rPr>
      </w:pPr>
      <w:r w:rsidRPr="005E2B13">
        <w:rPr>
          <w:rFonts w:ascii="Arial" w:hAnsi="Arial" w:cs="Arial"/>
          <w:sz w:val="22"/>
        </w:rPr>
        <w:t>Increase urgent care copayment</w:t>
      </w:r>
      <w:r>
        <w:rPr>
          <w:rFonts w:ascii="Arial" w:hAnsi="Arial" w:cs="Arial"/>
          <w:sz w:val="22"/>
        </w:rPr>
        <w:t xml:space="preserve"> </w:t>
      </w:r>
      <w:r w:rsidRPr="005E2B13">
        <w:rPr>
          <w:rFonts w:ascii="Arial" w:hAnsi="Arial" w:cs="Arial"/>
          <w:sz w:val="22"/>
        </w:rPr>
        <w:t>(from $30 to $35)</w:t>
      </w:r>
    </w:p>
    <w:p w:rsidR="00CD17D0" w:rsidRDefault="00CD17D0" w:rsidP="00CD17D0">
      <w:pPr>
        <w:widowControl/>
        <w:numPr>
          <w:ilvl w:val="0"/>
          <w:numId w:val="6"/>
        </w:numPr>
        <w:snapToGrid/>
        <w:rPr>
          <w:rFonts w:ascii="Arial" w:hAnsi="Arial" w:cs="Arial"/>
          <w:sz w:val="22"/>
        </w:rPr>
      </w:pPr>
      <w:r w:rsidRPr="005E2B13">
        <w:rPr>
          <w:rFonts w:ascii="Arial" w:hAnsi="Arial" w:cs="Arial"/>
          <w:sz w:val="22"/>
        </w:rPr>
        <w:t xml:space="preserve">Add copayment for physical therapy (from </w:t>
      </w:r>
      <w:r w:rsidR="00E84E65">
        <w:rPr>
          <w:rFonts w:ascii="Arial" w:hAnsi="Arial" w:cs="Arial"/>
          <w:sz w:val="22"/>
        </w:rPr>
        <w:t>$</w:t>
      </w:r>
      <w:r w:rsidRPr="005E2B13">
        <w:rPr>
          <w:rFonts w:ascii="Arial" w:hAnsi="Arial" w:cs="Arial"/>
          <w:sz w:val="22"/>
        </w:rPr>
        <w:t>0 to $10)</w:t>
      </w:r>
    </w:p>
    <w:p w:rsidR="00CD17D0" w:rsidRDefault="00CD17D0" w:rsidP="00CD17D0">
      <w:pPr>
        <w:widowControl/>
        <w:numPr>
          <w:ilvl w:val="0"/>
          <w:numId w:val="6"/>
        </w:numPr>
        <w:snapToGrid/>
        <w:rPr>
          <w:rFonts w:ascii="Arial" w:hAnsi="Arial" w:cs="Arial"/>
          <w:sz w:val="22"/>
        </w:rPr>
      </w:pPr>
      <w:r w:rsidRPr="005E2B13">
        <w:rPr>
          <w:rFonts w:ascii="Arial" w:hAnsi="Arial" w:cs="Arial"/>
          <w:sz w:val="22"/>
        </w:rPr>
        <w:t>Increase emergency room copayment (from $100 to $150)</w:t>
      </w:r>
    </w:p>
    <w:p w:rsidR="005B7683" w:rsidRDefault="00CD17D0" w:rsidP="005B7683">
      <w:pPr>
        <w:widowControl/>
        <w:numPr>
          <w:ilvl w:val="0"/>
          <w:numId w:val="6"/>
        </w:numPr>
        <w:snapToGrid/>
        <w:rPr>
          <w:rFonts w:ascii="Arial" w:hAnsi="Arial" w:cs="Arial"/>
          <w:sz w:val="22"/>
        </w:rPr>
      </w:pPr>
      <w:r w:rsidRPr="005E2B13">
        <w:rPr>
          <w:rFonts w:ascii="Arial" w:hAnsi="Arial" w:cs="Arial"/>
          <w:sz w:val="22"/>
        </w:rPr>
        <w:t xml:space="preserve">Change </w:t>
      </w:r>
      <w:r>
        <w:rPr>
          <w:rFonts w:ascii="Arial" w:hAnsi="Arial" w:cs="Arial"/>
          <w:sz w:val="22"/>
        </w:rPr>
        <w:t xml:space="preserve">outpatient surgery and </w:t>
      </w:r>
      <w:r w:rsidRPr="005E2B13">
        <w:rPr>
          <w:rFonts w:ascii="Arial" w:hAnsi="Arial" w:cs="Arial"/>
          <w:sz w:val="22"/>
        </w:rPr>
        <w:t xml:space="preserve">specialty diagnostic service coverage (from $100 to </w:t>
      </w:r>
      <w:r w:rsidR="005B7683">
        <w:rPr>
          <w:rFonts w:ascii="Arial" w:hAnsi="Arial" w:cs="Arial"/>
          <w:sz w:val="22"/>
        </w:rPr>
        <w:t>5% coinsurance</w:t>
      </w:r>
      <w:r w:rsidR="00E84E65">
        <w:rPr>
          <w:rFonts w:ascii="Arial" w:hAnsi="Arial" w:cs="Arial"/>
          <w:sz w:val="22"/>
        </w:rPr>
        <w:t>)</w:t>
      </w:r>
    </w:p>
    <w:p w:rsidR="005B7683" w:rsidRDefault="005B7683" w:rsidP="005B7683">
      <w:pPr>
        <w:widowControl/>
        <w:numPr>
          <w:ilvl w:val="0"/>
          <w:numId w:val="6"/>
        </w:numPr>
        <w:snapToGrid/>
        <w:rPr>
          <w:rFonts w:ascii="Arial" w:hAnsi="Arial" w:cs="Arial"/>
          <w:sz w:val="22"/>
        </w:rPr>
      </w:pPr>
      <w:r>
        <w:rPr>
          <w:rFonts w:ascii="Arial" w:hAnsi="Arial" w:cs="Arial"/>
          <w:sz w:val="22"/>
        </w:rPr>
        <w:t xml:space="preserve">Change Lab and diagnostic services </w:t>
      </w:r>
      <w:r w:rsidR="00E84E65">
        <w:rPr>
          <w:rFonts w:ascii="Arial" w:hAnsi="Arial" w:cs="Arial"/>
          <w:sz w:val="22"/>
        </w:rPr>
        <w:t>(</w:t>
      </w:r>
      <w:r>
        <w:rPr>
          <w:rFonts w:ascii="Arial" w:hAnsi="Arial" w:cs="Arial"/>
          <w:sz w:val="22"/>
        </w:rPr>
        <w:t>to be paid at 95% from 100%</w:t>
      </w:r>
      <w:r w:rsidR="00E84E65">
        <w:rPr>
          <w:rFonts w:ascii="Arial" w:hAnsi="Arial" w:cs="Arial"/>
          <w:sz w:val="22"/>
        </w:rPr>
        <w:t>)</w:t>
      </w:r>
      <w:r>
        <w:rPr>
          <w:rFonts w:ascii="Arial" w:hAnsi="Arial" w:cs="Arial"/>
          <w:sz w:val="22"/>
        </w:rPr>
        <w:t xml:space="preserve"> </w:t>
      </w:r>
    </w:p>
    <w:p w:rsidR="00CD17D0" w:rsidRDefault="00CD17D0" w:rsidP="00CD17D0">
      <w:pPr>
        <w:widowControl/>
        <w:numPr>
          <w:ilvl w:val="0"/>
          <w:numId w:val="6"/>
        </w:numPr>
        <w:snapToGrid/>
        <w:rPr>
          <w:rFonts w:ascii="Arial" w:hAnsi="Arial" w:cs="Arial"/>
          <w:sz w:val="22"/>
        </w:rPr>
      </w:pPr>
      <w:r w:rsidRPr="005E2B13">
        <w:rPr>
          <w:rFonts w:ascii="Arial" w:hAnsi="Arial" w:cs="Arial"/>
          <w:sz w:val="22"/>
        </w:rPr>
        <w:t>Change inpatient hospital coverage (from $200 to 5%</w:t>
      </w:r>
      <w:r w:rsidR="005B7683">
        <w:rPr>
          <w:rFonts w:ascii="Arial" w:hAnsi="Arial" w:cs="Arial"/>
          <w:sz w:val="22"/>
        </w:rPr>
        <w:t xml:space="preserve"> coinsurance</w:t>
      </w:r>
      <w:r w:rsidRPr="005E2B13">
        <w:rPr>
          <w:rFonts w:ascii="Arial" w:hAnsi="Arial" w:cs="Arial"/>
          <w:sz w:val="22"/>
        </w:rPr>
        <w:t>)</w:t>
      </w:r>
    </w:p>
    <w:p w:rsidR="00E84E65" w:rsidRDefault="00CD17D0" w:rsidP="00CD17D0">
      <w:pPr>
        <w:widowControl/>
        <w:numPr>
          <w:ilvl w:val="0"/>
          <w:numId w:val="6"/>
        </w:numPr>
        <w:snapToGrid/>
        <w:rPr>
          <w:rFonts w:ascii="Arial" w:hAnsi="Arial" w:cs="Arial"/>
          <w:sz w:val="22"/>
        </w:rPr>
      </w:pPr>
      <w:r w:rsidRPr="005E2B13">
        <w:rPr>
          <w:rFonts w:ascii="Arial" w:hAnsi="Arial" w:cs="Arial"/>
          <w:sz w:val="22"/>
        </w:rPr>
        <w:t xml:space="preserve">Prescription co-pays to change as follows: </w:t>
      </w:r>
    </w:p>
    <w:p w:rsidR="0033745F" w:rsidRDefault="00CD17D0">
      <w:pPr>
        <w:widowControl/>
        <w:numPr>
          <w:ilvl w:val="1"/>
          <w:numId w:val="6"/>
        </w:numPr>
        <w:snapToGrid/>
        <w:rPr>
          <w:rFonts w:ascii="Arial" w:hAnsi="Arial" w:cs="Arial"/>
          <w:sz w:val="22"/>
        </w:rPr>
      </w:pPr>
      <w:r w:rsidRPr="005E2B13">
        <w:rPr>
          <w:rFonts w:ascii="Arial" w:hAnsi="Arial" w:cs="Arial"/>
          <w:sz w:val="22"/>
        </w:rPr>
        <w:t xml:space="preserve">Generic - $5 to $7 </w:t>
      </w:r>
    </w:p>
    <w:p w:rsidR="0033745F" w:rsidRDefault="00CD17D0">
      <w:pPr>
        <w:widowControl/>
        <w:numPr>
          <w:ilvl w:val="1"/>
          <w:numId w:val="6"/>
        </w:numPr>
        <w:snapToGrid/>
        <w:rPr>
          <w:rFonts w:ascii="Arial" w:hAnsi="Arial" w:cs="Arial"/>
          <w:sz w:val="22"/>
        </w:rPr>
      </w:pPr>
      <w:r w:rsidRPr="005E2B13">
        <w:rPr>
          <w:rFonts w:ascii="Arial" w:hAnsi="Arial" w:cs="Arial"/>
          <w:sz w:val="22"/>
        </w:rPr>
        <w:t xml:space="preserve">Tier II - $25 to $30 </w:t>
      </w:r>
    </w:p>
    <w:p w:rsidR="0033745F" w:rsidRDefault="00CD17D0">
      <w:pPr>
        <w:widowControl/>
        <w:numPr>
          <w:ilvl w:val="1"/>
          <w:numId w:val="6"/>
        </w:numPr>
        <w:snapToGrid/>
        <w:rPr>
          <w:rFonts w:ascii="Arial" w:hAnsi="Arial" w:cs="Arial"/>
          <w:sz w:val="22"/>
        </w:rPr>
      </w:pPr>
      <w:r w:rsidRPr="005E2B13">
        <w:rPr>
          <w:rFonts w:ascii="Arial" w:hAnsi="Arial" w:cs="Arial"/>
          <w:sz w:val="22"/>
        </w:rPr>
        <w:t>Tier III - $40 to $45</w:t>
      </w:r>
    </w:p>
    <w:p w:rsidR="00CD17D0" w:rsidRPr="005E2B13" w:rsidRDefault="00CD17D0" w:rsidP="00CD17D0">
      <w:pPr>
        <w:rPr>
          <w:rFonts w:ascii="Arial" w:hAnsi="Arial" w:cs="Arial"/>
          <w:sz w:val="22"/>
        </w:rPr>
      </w:pPr>
    </w:p>
    <w:p w:rsidR="00CD17D0" w:rsidRPr="005E2B13" w:rsidRDefault="00CD17D0" w:rsidP="00CD17D0">
      <w:pPr>
        <w:tabs>
          <w:tab w:val="left" w:pos="720"/>
        </w:tabs>
        <w:rPr>
          <w:rFonts w:ascii="Arial" w:hAnsi="Arial" w:cs="Arial"/>
          <w:sz w:val="22"/>
        </w:rPr>
      </w:pPr>
      <w:r w:rsidRPr="005E2B13">
        <w:rPr>
          <w:rFonts w:ascii="Arial" w:hAnsi="Arial" w:cs="Arial"/>
          <w:sz w:val="22"/>
        </w:rPr>
        <w:t>Changes to Middle Plan:</w:t>
      </w:r>
    </w:p>
    <w:p w:rsidR="00CD17D0" w:rsidRDefault="00CD17D0" w:rsidP="00CD17D0">
      <w:pPr>
        <w:widowControl/>
        <w:numPr>
          <w:ilvl w:val="0"/>
          <w:numId w:val="5"/>
        </w:numPr>
        <w:snapToGrid/>
        <w:rPr>
          <w:rFonts w:ascii="Arial" w:hAnsi="Arial" w:cs="Arial"/>
          <w:sz w:val="22"/>
        </w:rPr>
      </w:pPr>
      <w:r w:rsidRPr="005E2B13">
        <w:rPr>
          <w:rFonts w:ascii="Arial" w:hAnsi="Arial" w:cs="Arial"/>
          <w:sz w:val="22"/>
        </w:rPr>
        <w:t>Increase emergency room copayment (from $100 to $150)</w:t>
      </w:r>
    </w:p>
    <w:p w:rsidR="00E84E65" w:rsidRDefault="00CD17D0" w:rsidP="00CD17D0">
      <w:pPr>
        <w:widowControl/>
        <w:numPr>
          <w:ilvl w:val="0"/>
          <w:numId w:val="5"/>
        </w:numPr>
        <w:snapToGrid/>
        <w:rPr>
          <w:rFonts w:ascii="Arial" w:hAnsi="Arial" w:cs="Arial"/>
          <w:sz w:val="22"/>
        </w:rPr>
      </w:pPr>
      <w:r w:rsidRPr="005E2B13">
        <w:rPr>
          <w:rFonts w:ascii="Arial" w:hAnsi="Arial" w:cs="Arial"/>
          <w:sz w:val="22"/>
        </w:rPr>
        <w:t xml:space="preserve">Prescription co-pays to change as follows: </w:t>
      </w:r>
    </w:p>
    <w:p w:rsidR="0033745F" w:rsidRDefault="00CD17D0">
      <w:pPr>
        <w:widowControl/>
        <w:numPr>
          <w:ilvl w:val="1"/>
          <w:numId w:val="5"/>
        </w:numPr>
        <w:snapToGrid/>
        <w:rPr>
          <w:rFonts w:ascii="Arial" w:hAnsi="Arial" w:cs="Arial"/>
          <w:sz w:val="22"/>
        </w:rPr>
      </w:pPr>
      <w:r w:rsidRPr="005E2B13">
        <w:rPr>
          <w:rFonts w:ascii="Arial" w:hAnsi="Arial" w:cs="Arial"/>
          <w:sz w:val="22"/>
        </w:rPr>
        <w:t xml:space="preserve">Generic - $5 to $7 </w:t>
      </w:r>
    </w:p>
    <w:p w:rsidR="0033745F" w:rsidRDefault="00CD17D0">
      <w:pPr>
        <w:widowControl/>
        <w:numPr>
          <w:ilvl w:val="1"/>
          <w:numId w:val="5"/>
        </w:numPr>
        <w:snapToGrid/>
        <w:rPr>
          <w:rFonts w:ascii="Arial" w:hAnsi="Arial" w:cs="Arial"/>
          <w:sz w:val="22"/>
        </w:rPr>
      </w:pPr>
      <w:r w:rsidRPr="005E2B13">
        <w:rPr>
          <w:rFonts w:ascii="Arial" w:hAnsi="Arial" w:cs="Arial"/>
          <w:sz w:val="22"/>
        </w:rPr>
        <w:t xml:space="preserve">Tier II - $25 to $30 </w:t>
      </w:r>
    </w:p>
    <w:p w:rsidR="0033745F" w:rsidRDefault="00CD17D0">
      <w:pPr>
        <w:widowControl/>
        <w:numPr>
          <w:ilvl w:val="1"/>
          <w:numId w:val="5"/>
        </w:numPr>
        <w:snapToGrid/>
        <w:rPr>
          <w:rFonts w:ascii="Arial" w:hAnsi="Arial" w:cs="Arial"/>
          <w:sz w:val="22"/>
        </w:rPr>
      </w:pPr>
      <w:r w:rsidRPr="005E2B13">
        <w:rPr>
          <w:rFonts w:ascii="Arial" w:hAnsi="Arial" w:cs="Arial"/>
          <w:sz w:val="22"/>
        </w:rPr>
        <w:t>Tier III - $40 to $45</w:t>
      </w:r>
    </w:p>
    <w:p w:rsidR="00CD17D0" w:rsidRPr="005E2B13" w:rsidRDefault="00CD17D0" w:rsidP="00CD17D0">
      <w:pPr>
        <w:ind w:left="360"/>
        <w:rPr>
          <w:rFonts w:ascii="Arial" w:hAnsi="Arial" w:cs="Arial"/>
          <w:sz w:val="22"/>
        </w:rPr>
      </w:pPr>
    </w:p>
    <w:p w:rsidR="00CD17D0" w:rsidRDefault="00CD17D0" w:rsidP="00CD17D0">
      <w:pPr>
        <w:tabs>
          <w:tab w:val="left" w:pos="720"/>
        </w:tabs>
        <w:rPr>
          <w:rFonts w:ascii="Arial" w:hAnsi="Arial" w:cs="Arial"/>
          <w:sz w:val="22"/>
        </w:rPr>
      </w:pPr>
      <w:r w:rsidRPr="005E2B13">
        <w:rPr>
          <w:rFonts w:ascii="Arial" w:hAnsi="Arial" w:cs="Arial"/>
          <w:sz w:val="22"/>
        </w:rPr>
        <w:t>Change to Low Plan:</w:t>
      </w:r>
    </w:p>
    <w:p w:rsidR="00E84E65" w:rsidRDefault="00CD17D0" w:rsidP="00CD17D0">
      <w:pPr>
        <w:widowControl/>
        <w:numPr>
          <w:ilvl w:val="0"/>
          <w:numId w:val="5"/>
        </w:numPr>
        <w:snapToGrid/>
        <w:rPr>
          <w:rFonts w:ascii="Arial" w:hAnsi="Arial" w:cs="Arial"/>
          <w:sz w:val="22"/>
        </w:rPr>
      </w:pPr>
      <w:r w:rsidRPr="005E2B13">
        <w:rPr>
          <w:rFonts w:ascii="Arial" w:hAnsi="Arial" w:cs="Arial"/>
          <w:sz w:val="22"/>
        </w:rPr>
        <w:t>Prescription co-pays to change as follows:</w:t>
      </w:r>
      <w:r>
        <w:rPr>
          <w:rFonts w:ascii="Arial" w:hAnsi="Arial" w:cs="Arial"/>
          <w:sz w:val="22"/>
        </w:rPr>
        <w:t xml:space="preserve"> </w:t>
      </w:r>
    </w:p>
    <w:p w:rsidR="0033745F" w:rsidRDefault="00CD17D0">
      <w:pPr>
        <w:widowControl/>
        <w:numPr>
          <w:ilvl w:val="1"/>
          <w:numId w:val="5"/>
        </w:numPr>
        <w:snapToGrid/>
        <w:rPr>
          <w:rFonts w:ascii="Arial" w:hAnsi="Arial" w:cs="Arial"/>
          <w:sz w:val="22"/>
        </w:rPr>
      </w:pPr>
      <w:r>
        <w:rPr>
          <w:rFonts w:ascii="Arial" w:hAnsi="Arial" w:cs="Arial"/>
          <w:sz w:val="22"/>
        </w:rPr>
        <w:lastRenderedPageBreak/>
        <w:t>Generic - $5 to $7</w:t>
      </w:r>
      <w:r w:rsidRPr="005E2B13">
        <w:rPr>
          <w:rFonts w:ascii="Arial" w:hAnsi="Arial" w:cs="Arial"/>
          <w:sz w:val="22"/>
        </w:rPr>
        <w:t xml:space="preserve"> </w:t>
      </w:r>
    </w:p>
    <w:p w:rsidR="0033745F" w:rsidRDefault="00CD17D0">
      <w:pPr>
        <w:widowControl/>
        <w:numPr>
          <w:ilvl w:val="1"/>
          <w:numId w:val="5"/>
        </w:numPr>
        <w:snapToGrid/>
        <w:rPr>
          <w:rFonts w:ascii="Arial" w:hAnsi="Arial" w:cs="Arial"/>
          <w:sz w:val="22"/>
        </w:rPr>
      </w:pPr>
      <w:r w:rsidRPr="005E2B13">
        <w:rPr>
          <w:rFonts w:ascii="Arial" w:hAnsi="Arial" w:cs="Arial"/>
          <w:sz w:val="22"/>
        </w:rPr>
        <w:t xml:space="preserve">Tier II </w:t>
      </w:r>
      <w:r>
        <w:rPr>
          <w:rFonts w:ascii="Arial" w:hAnsi="Arial" w:cs="Arial"/>
          <w:sz w:val="22"/>
        </w:rPr>
        <w:t>remains at</w:t>
      </w:r>
      <w:r w:rsidRPr="005E2B13">
        <w:rPr>
          <w:rFonts w:ascii="Arial" w:hAnsi="Arial" w:cs="Arial"/>
          <w:sz w:val="22"/>
        </w:rPr>
        <w:t xml:space="preserve"> $30, </w:t>
      </w:r>
      <w:r w:rsidRPr="00E84E65">
        <w:rPr>
          <w:rFonts w:ascii="Arial" w:hAnsi="Arial" w:cs="Arial"/>
          <w:sz w:val="22"/>
        </w:rPr>
        <w:t>Tier III remains at $5</w:t>
      </w:r>
      <w:r w:rsidR="00D85E1D">
        <w:rPr>
          <w:rFonts w:ascii="Arial" w:hAnsi="Arial" w:cs="Arial"/>
          <w:sz w:val="22"/>
        </w:rPr>
        <w:t>0</w:t>
      </w:r>
    </w:p>
    <w:p w:rsidR="00CD17D0" w:rsidRPr="005E2B13" w:rsidRDefault="00CD17D0" w:rsidP="00CD17D0">
      <w:pPr>
        <w:tabs>
          <w:tab w:val="left" w:pos="720"/>
        </w:tabs>
        <w:rPr>
          <w:rFonts w:ascii="Arial" w:hAnsi="Arial" w:cs="Arial"/>
          <w:sz w:val="22"/>
        </w:rPr>
      </w:pPr>
    </w:p>
    <w:p w:rsidR="00CD17D0" w:rsidRPr="005E2B13" w:rsidRDefault="00CD17D0" w:rsidP="00CD17D0">
      <w:pPr>
        <w:rPr>
          <w:rFonts w:ascii="Arial" w:hAnsi="Arial"/>
          <w:sz w:val="22"/>
        </w:rPr>
      </w:pPr>
      <w:r w:rsidRPr="005E2B13">
        <w:rPr>
          <w:rFonts w:ascii="Arial" w:hAnsi="Arial"/>
          <w:sz w:val="22"/>
        </w:rPr>
        <w:t xml:space="preserve">In addition, to comply with two provisions of </w:t>
      </w:r>
      <w:r w:rsidR="001A7100">
        <w:rPr>
          <w:rFonts w:ascii="Arial" w:hAnsi="Arial"/>
          <w:sz w:val="22"/>
        </w:rPr>
        <w:t xml:space="preserve">Federal </w:t>
      </w:r>
      <w:r w:rsidRPr="005E2B13">
        <w:rPr>
          <w:rFonts w:ascii="Arial" w:hAnsi="Arial"/>
          <w:sz w:val="22"/>
        </w:rPr>
        <w:t>Health Care Reform the following changes to the medical plan for 2010-2011 were made:</w:t>
      </w:r>
    </w:p>
    <w:p w:rsidR="00CD17D0" w:rsidRDefault="00CD17D0" w:rsidP="00CD17D0">
      <w:pPr>
        <w:pStyle w:val="ListParagraph"/>
        <w:numPr>
          <w:ilvl w:val="0"/>
          <w:numId w:val="3"/>
        </w:numPr>
        <w:rPr>
          <w:rFonts w:ascii="Arial" w:hAnsi="Arial"/>
          <w:sz w:val="22"/>
          <w:szCs w:val="20"/>
        </w:rPr>
      </w:pPr>
      <w:r w:rsidRPr="005E2B13">
        <w:rPr>
          <w:rFonts w:ascii="Arial" w:hAnsi="Arial"/>
          <w:sz w:val="22"/>
          <w:szCs w:val="20"/>
        </w:rPr>
        <w:t>Coverage must be provided for dependent children up to age 26</w:t>
      </w:r>
      <w:r w:rsidR="005B7683">
        <w:rPr>
          <w:rFonts w:ascii="Arial" w:hAnsi="Arial"/>
          <w:sz w:val="22"/>
          <w:szCs w:val="20"/>
        </w:rPr>
        <w:t xml:space="preserve"> (up from age 24)</w:t>
      </w:r>
      <w:r w:rsidRPr="005E2B13">
        <w:rPr>
          <w:rFonts w:ascii="Arial" w:hAnsi="Arial"/>
          <w:sz w:val="22"/>
          <w:szCs w:val="20"/>
        </w:rPr>
        <w:t>, regardless of</w:t>
      </w:r>
      <w:r w:rsidR="005B7683">
        <w:rPr>
          <w:rFonts w:ascii="Arial" w:hAnsi="Arial"/>
          <w:sz w:val="22"/>
          <w:szCs w:val="20"/>
        </w:rPr>
        <w:t xml:space="preserve"> student, marital or tax status;</w:t>
      </w:r>
    </w:p>
    <w:p w:rsidR="005B7683" w:rsidRDefault="00CD17D0" w:rsidP="005B7683">
      <w:pPr>
        <w:pStyle w:val="ListParagraph"/>
        <w:numPr>
          <w:ilvl w:val="0"/>
          <w:numId w:val="3"/>
        </w:numPr>
        <w:rPr>
          <w:rFonts w:ascii="Arial" w:hAnsi="Arial"/>
          <w:sz w:val="22"/>
          <w:szCs w:val="20"/>
        </w:rPr>
      </w:pPr>
      <w:r w:rsidRPr="005E2B13">
        <w:rPr>
          <w:rFonts w:ascii="Arial" w:hAnsi="Arial"/>
          <w:sz w:val="22"/>
          <w:szCs w:val="20"/>
        </w:rPr>
        <w:t>Lifetime d</w:t>
      </w:r>
      <w:r w:rsidR="005B7683">
        <w:rPr>
          <w:rFonts w:ascii="Arial" w:hAnsi="Arial"/>
          <w:sz w:val="22"/>
          <w:szCs w:val="20"/>
        </w:rPr>
        <w:t>ollar limits must be eliminated (from $2,000,000 limit);</w:t>
      </w:r>
    </w:p>
    <w:p w:rsidR="005B7683" w:rsidRDefault="005B7683" w:rsidP="005B7683">
      <w:pPr>
        <w:pStyle w:val="ListParagraph"/>
        <w:numPr>
          <w:ilvl w:val="0"/>
          <w:numId w:val="3"/>
        </w:numPr>
        <w:rPr>
          <w:rFonts w:ascii="Arial" w:hAnsi="Arial"/>
          <w:sz w:val="22"/>
          <w:szCs w:val="20"/>
        </w:rPr>
      </w:pPr>
      <w:r>
        <w:rPr>
          <w:rFonts w:ascii="Arial" w:hAnsi="Arial"/>
          <w:sz w:val="22"/>
          <w:szCs w:val="20"/>
        </w:rPr>
        <w:t>Preventive benefits covered at 100% will be expanded.</w:t>
      </w:r>
    </w:p>
    <w:p w:rsidR="007C613B" w:rsidRDefault="007C613B">
      <w:pPr>
        <w:ind w:left="360"/>
        <w:rPr>
          <w:rFonts w:ascii="Arial" w:hAnsi="Arial"/>
          <w:sz w:val="22"/>
        </w:rPr>
      </w:pPr>
    </w:p>
    <w:p w:rsidR="00CD17D0" w:rsidRDefault="00CA0FAD" w:rsidP="00CD17D0">
      <w:pPr>
        <w:pStyle w:val="BodyText3"/>
        <w:rPr>
          <w:rFonts w:cs="Arial"/>
          <w:i/>
          <w:iCs/>
          <w:sz w:val="22"/>
          <w:szCs w:val="20"/>
          <w:u w:val="single"/>
        </w:rPr>
      </w:pPr>
      <w:r>
        <w:rPr>
          <w:rFonts w:ascii="Arial" w:hAnsi="Arial" w:cs="Arial"/>
          <w:sz w:val="22"/>
        </w:rPr>
        <w:t>In comparing total plan costs to market, it is important to note that many localities subsidize spouse and dependent coverage, although we do not.  Therefore, t</w:t>
      </w:r>
      <w:r w:rsidRPr="005E2B13">
        <w:rPr>
          <w:rFonts w:ascii="Arial" w:hAnsi="Arial" w:cs="Arial"/>
          <w:sz w:val="22"/>
        </w:rPr>
        <w:t xml:space="preserve">he total cost of the </w:t>
      </w:r>
      <w:r>
        <w:rPr>
          <w:rFonts w:ascii="Arial" w:hAnsi="Arial" w:cs="Arial"/>
          <w:sz w:val="22"/>
        </w:rPr>
        <w:t xml:space="preserve">individual </w:t>
      </w:r>
      <w:r w:rsidRPr="005E2B13">
        <w:rPr>
          <w:rFonts w:ascii="Arial" w:hAnsi="Arial" w:cs="Arial"/>
          <w:sz w:val="22"/>
        </w:rPr>
        <w:t xml:space="preserve">plan </w:t>
      </w:r>
      <w:r>
        <w:rPr>
          <w:rFonts w:ascii="Arial" w:hAnsi="Arial" w:cs="Arial"/>
          <w:sz w:val="22"/>
        </w:rPr>
        <w:t>relative to our market is high, yet the total cost of the family plan is somewhat lower than market. (Attachment 5 ).  However</w:t>
      </w:r>
      <w:r w:rsidRPr="005E2B13">
        <w:rPr>
          <w:rFonts w:ascii="Arial" w:hAnsi="Arial" w:cs="Arial"/>
          <w:sz w:val="22"/>
        </w:rPr>
        <w:t>, the plan design of the high plan is also rich relative to the market.  In order to bring the total cost and plan design more in line (</w:t>
      </w:r>
      <w:r>
        <w:rPr>
          <w:rFonts w:ascii="Arial" w:hAnsi="Arial" w:cs="Arial"/>
          <w:sz w:val="22"/>
        </w:rPr>
        <w:t>while</w:t>
      </w:r>
      <w:r w:rsidRPr="005E2B13">
        <w:rPr>
          <w:rFonts w:ascii="Arial" w:hAnsi="Arial" w:cs="Arial"/>
          <w:sz w:val="22"/>
        </w:rPr>
        <w:t xml:space="preserve"> recognizing the benefits strategy to be slightly above market) plan design changes will be made, particularly in regard to the high plan for next year.  </w:t>
      </w:r>
    </w:p>
    <w:p w:rsidR="00CD17D0" w:rsidRPr="002C7201" w:rsidRDefault="00CD17D0" w:rsidP="00CD17D0">
      <w:pPr>
        <w:rPr>
          <w:rFonts w:ascii="Arial" w:hAnsi="Arial" w:cs="Arial"/>
          <w:b/>
          <w:sz w:val="22"/>
        </w:rPr>
      </w:pPr>
      <w:r w:rsidRPr="00BB72A2">
        <w:rPr>
          <w:rFonts w:ascii="Arial" w:hAnsi="Arial" w:cs="Arial"/>
          <w:b/>
          <w:sz w:val="22"/>
        </w:rPr>
        <w:t>Dental Insurance</w:t>
      </w:r>
    </w:p>
    <w:p w:rsidR="001A7100" w:rsidRDefault="00CD17D0" w:rsidP="00CD17D0">
      <w:pPr>
        <w:rPr>
          <w:rFonts w:ascii="Arial" w:hAnsi="Arial" w:cs="Arial"/>
          <w:sz w:val="22"/>
          <w:szCs w:val="22"/>
        </w:rPr>
      </w:pPr>
      <w:r w:rsidRPr="005E2B13">
        <w:rPr>
          <w:rFonts w:ascii="Arial" w:hAnsi="Arial" w:cs="Arial"/>
          <w:sz w:val="22"/>
          <w:szCs w:val="22"/>
        </w:rPr>
        <w:t>Dental claims were below projections, resulting in a 0.2% increase instead of the previously projected 5%.  As the plan design is below market in several areas, the HCEC recommended addressing some of those plan issues, rather than decreasin</w:t>
      </w:r>
      <w:r w:rsidR="005B7683">
        <w:rPr>
          <w:rFonts w:ascii="Arial" w:hAnsi="Arial" w:cs="Arial"/>
          <w:sz w:val="22"/>
          <w:szCs w:val="22"/>
        </w:rPr>
        <w:t xml:space="preserve">g the budgeted increase.  </w:t>
      </w:r>
    </w:p>
    <w:p w:rsidR="00CD17D0" w:rsidRPr="005E2B13" w:rsidRDefault="005B7683" w:rsidP="00CD17D0">
      <w:pPr>
        <w:rPr>
          <w:rFonts w:ascii="Arial" w:hAnsi="Arial" w:cs="Arial"/>
          <w:sz w:val="22"/>
          <w:szCs w:val="22"/>
        </w:rPr>
      </w:pPr>
      <w:r>
        <w:rPr>
          <w:rFonts w:ascii="Arial" w:hAnsi="Arial" w:cs="Arial"/>
          <w:sz w:val="22"/>
          <w:szCs w:val="22"/>
        </w:rPr>
        <w:t xml:space="preserve">The </w:t>
      </w:r>
      <w:r w:rsidR="00CD17D0" w:rsidRPr="005E2B13">
        <w:rPr>
          <w:rFonts w:ascii="Arial" w:hAnsi="Arial" w:cs="Arial"/>
          <w:sz w:val="22"/>
          <w:szCs w:val="22"/>
        </w:rPr>
        <w:t>changes</w:t>
      </w:r>
      <w:r>
        <w:rPr>
          <w:rFonts w:ascii="Arial" w:hAnsi="Arial" w:cs="Arial"/>
          <w:sz w:val="22"/>
          <w:szCs w:val="22"/>
        </w:rPr>
        <w:t xml:space="preserve"> effective October 1, 2010</w:t>
      </w:r>
      <w:r w:rsidR="00CD17D0" w:rsidRPr="005E2B13">
        <w:rPr>
          <w:rFonts w:ascii="Arial" w:hAnsi="Arial" w:cs="Arial"/>
          <w:sz w:val="22"/>
          <w:szCs w:val="22"/>
        </w:rPr>
        <w:t xml:space="preserve"> included:</w:t>
      </w:r>
    </w:p>
    <w:p w:rsidR="00CD17D0" w:rsidRDefault="00CD17D0" w:rsidP="00CD17D0">
      <w:pPr>
        <w:pStyle w:val="ListParagraph"/>
        <w:numPr>
          <w:ilvl w:val="0"/>
          <w:numId w:val="4"/>
        </w:numPr>
        <w:rPr>
          <w:rFonts w:ascii="Arial" w:hAnsi="Arial" w:cs="Arial"/>
          <w:sz w:val="22"/>
          <w:szCs w:val="22"/>
        </w:rPr>
      </w:pPr>
      <w:r w:rsidRPr="005E2B13">
        <w:rPr>
          <w:rFonts w:ascii="Arial" w:hAnsi="Arial" w:cs="Arial"/>
          <w:sz w:val="22"/>
          <w:szCs w:val="22"/>
        </w:rPr>
        <w:t>Adding prevention first benefit to both Basic and High plans so that visits for preventive and diagnostic services are not counted against the plan year maximum</w:t>
      </w:r>
    </w:p>
    <w:p w:rsidR="00CD17D0" w:rsidRDefault="00CD17D0" w:rsidP="00CD17D0">
      <w:pPr>
        <w:pStyle w:val="ListParagraph"/>
        <w:numPr>
          <w:ilvl w:val="0"/>
          <w:numId w:val="4"/>
        </w:numPr>
        <w:rPr>
          <w:rFonts w:ascii="Arial" w:hAnsi="Arial" w:cs="Arial"/>
          <w:sz w:val="22"/>
          <w:szCs w:val="22"/>
        </w:rPr>
      </w:pPr>
      <w:r w:rsidRPr="005E2B13">
        <w:rPr>
          <w:rFonts w:ascii="Arial" w:hAnsi="Arial" w:cs="Arial"/>
          <w:sz w:val="22"/>
          <w:szCs w:val="22"/>
        </w:rPr>
        <w:t>Adding coverage for implants under major services on High plan</w:t>
      </w:r>
    </w:p>
    <w:p w:rsidR="00CD17D0" w:rsidRPr="00626B41" w:rsidRDefault="00CD17D0" w:rsidP="00CD17D0">
      <w:pPr>
        <w:pStyle w:val="BodyText3"/>
        <w:rPr>
          <w:rFonts w:cs="Arial"/>
          <w:iCs/>
          <w:sz w:val="22"/>
          <w:szCs w:val="20"/>
        </w:rPr>
      </w:pPr>
    </w:p>
    <w:p w:rsidR="00CD17D0" w:rsidRPr="00626B41" w:rsidRDefault="00CD17D0" w:rsidP="00CD17D0">
      <w:pPr>
        <w:pStyle w:val="BodyText3"/>
        <w:rPr>
          <w:rFonts w:ascii="Arial" w:hAnsi="Arial" w:cs="Arial"/>
          <w:b/>
          <w:iCs/>
          <w:sz w:val="22"/>
          <w:szCs w:val="22"/>
        </w:rPr>
      </w:pPr>
      <w:r w:rsidRPr="00626B41">
        <w:rPr>
          <w:rFonts w:ascii="Arial" w:hAnsi="Arial" w:cs="Arial"/>
          <w:b/>
          <w:iCs/>
          <w:sz w:val="22"/>
          <w:szCs w:val="22"/>
        </w:rPr>
        <w:t>Health Care Reserve Fund</w:t>
      </w:r>
    </w:p>
    <w:p w:rsidR="00CD17D0" w:rsidRDefault="00CD17D0" w:rsidP="00CD17D0">
      <w:pPr>
        <w:pStyle w:val="BodyText3"/>
        <w:rPr>
          <w:rFonts w:ascii="Arial" w:hAnsi="Arial" w:cs="Arial"/>
          <w:sz w:val="22"/>
        </w:rPr>
      </w:pPr>
      <w:r w:rsidRPr="005E2B13">
        <w:rPr>
          <w:rFonts w:ascii="Arial" w:hAnsi="Arial" w:cs="Arial"/>
          <w:sz w:val="22"/>
          <w:szCs w:val="22"/>
        </w:rPr>
        <w:t>As our medical</w:t>
      </w:r>
      <w:r w:rsidR="005B7683">
        <w:rPr>
          <w:rFonts w:ascii="Arial" w:hAnsi="Arial" w:cs="Arial"/>
          <w:sz w:val="22"/>
          <w:szCs w:val="22"/>
        </w:rPr>
        <w:t xml:space="preserve"> plan</w:t>
      </w:r>
      <w:r>
        <w:rPr>
          <w:rFonts w:ascii="Arial" w:hAnsi="Arial" w:cs="Arial"/>
          <w:sz w:val="22"/>
          <w:szCs w:val="22"/>
        </w:rPr>
        <w:t xml:space="preserve"> is </w:t>
      </w:r>
      <w:r w:rsidRPr="005E2B13">
        <w:rPr>
          <w:rFonts w:ascii="Arial" w:hAnsi="Arial" w:cs="Arial"/>
          <w:sz w:val="22"/>
          <w:szCs w:val="22"/>
        </w:rPr>
        <w:t xml:space="preserve">self-insured, the County is responsible for all claims and our projections are based on the best historical and trend analysis information at the time.  If claims exceed our revenue collections the difference is paid from our reserves.  Likewise, if revenue exceeds claims the difference is added back to our reserves.  </w:t>
      </w:r>
      <w:r>
        <w:rPr>
          <w:rFonts w:ascii="Arial" w:hAnsi="Arial" w:cs="Arial"/>
          <w:sz w:val="22"/>
          <w:szCs w:val="22"/>
        </w:rPr>
        <w:t>R</w:t>
      </w:r>
      <w:r w:rsidRPr="005E2B13">
        <w:rPr>
          <w:rFonts w:ascii="Arial" w:hAnsi="Arial" w:cs="Arial"/>
          <w:sz w:val="22"/>
          <w:szCs w:val="22"/>
        </w:rPr>
        <w:t>eserve</w:t>
      </w:r>
      <w:r>
        <w:rPr>
          <w:rFonts w:ascii="Arial" w:hAnsi="Arial" w:cs="Arial"/>
          <w:sz w:val="22"/>
          <w:szCs w:val="22"/>
        </w:rPr>
        <w:t xml:space="preserve"> fund</w:t>
      </w:r>
      <w:r w:rsidRPr="005E2B13">
        <w:rPr>
          <w:rFonts w:ascii="Arial" w:hAnsi="Arial" w:cs="Arial"/>
          <w:sz w:val="22"/>
          <w:szCs w:val="22"/>
        </w:rPr>
        <w:t xml:space="preserve">s serve to cover any difference between claims paid, but not covered by the revenues (employee premiums collected &amp; Board contributions). To meet this goal, a reserve </w:t>
      </w:r>
      <w:r>
        <w:rPr>
          <w:rFonts w:ascii="Arial" w:hAnsi="Arial" w:cs="Arial"/>
          <w:sz w:val="22"/>
          <w:szCs w:val="22"/>
        </w:rPr>
        <w:t xml:space="preserve">balance </w:t>
      </w:r>
      <w:r w:rsidRPr="005E2B13">
        <w:rPr>
          <w:rFonts w:ascii="Arial" w:hAnsi="Arial" w:cs="Arial"/>
          <w:sz w:val="22"/>
          <w:szCs w:val="22"/>
        </w:rPr>
        <w:t xml:space="preserve">of 20% of total claims is recommended. </w:t>
      </w:r>
      <w:r w:rsidRPr="005E2B13">
        <w:rPr>
          <w:rFonts w:ascii="Arial" w:hAnsi="Arial" w:cs="Arial"/>
          <w:sz w:val="22"/>
        </w:rPr>
        <w:t xml:space="preserve"> </w:t>
      </w:r>
    </w:p>
    <w:p w:rsidR="00CD17D0" w:rsidRPr="005E2B13" w:rsidRDefault="00CD17D0" w:rsidP="00CD17D0">
      <w:pPr>
        <w:pStyle w:val="BodyText3"/>
        <w:rPr>
          <w:rFonts w:ascii="Arial" w:hAnsi="Arial" w:cs="Arial"/>
          <w:sz w:val="22"/>
        </w:rPr>
      </w:pPr>
      <w:r w:rsidRPr="005E2B13">
        <w:rPr>
          <w:rFonts w:ascii="Arial" w:hAnsi="Arial" w:cs="Arial"/>
          <w:sz w:val="22"/>
        </w:rPr>
        <w:t xml:space="preserve">Last spring the HCEC identified that as a result of our medical claims running below projections, the </w:t>
      </w:r>
      <w:r>
        <w:rPr>
          <w:rFonts w:ascii="Arial" w:hAnsi="Arial" w:cs="Arial"/>
          <w:sz w:val="22"/>
        </w:rPr>
        <w:t>Health Care</w:t>
      </w:r>
      <w:r w:rsidRPr="005E2B13">
        <w:rPr>
          <w:rFonts w:ascii="Arial" w:hAnsi="Arial" w:cs="Arial"/>
          <w:sz w:val="22"/>
        </w:rPr>
        <w:t xml:space="preserve"> </w:t>
      </w:r>
      <w:r>
        <w:rPr>
          <w:rFonts w:ascii="Arial" w:hAnsi="Arial" w:cs="Arial"/>
          <w:sz w:val="22"/>
        </w:rPr>
        <w:t>R</w:t>
      </w:r>
      <w:r w:rsidRPr="005E2B13">
        <w:rPr>
          <w:rFonts w:ascii="Arial" w:hAnsi="Arial" w:cs="Arial"/>
          <w:sz w:val="22"/>
        </w:rPr>
        <w:t xml:space="preserve">eserve </w:t>
      </w:r>
      <w:r>
        <w:rPr>
          <w:rFonts w:ascii="Arial" w:hAnsi="Arial" w:cs="Arial"/>
          <w:sz w:val="22"/>
        </w:rPr>
        <w:t>F</w:t>
      </w:r>
      <w:r w:rsidRPr="005E2B13">
        <w:rPr>
          <w:rFonts w:ascii="Arial" w:hAnsi="Arial" w:cs="Arial"/>
          <w:sz w:val="22"/>
        </w:rPr>
        <w:t xml:space="preserve">und had a larger balance than anticipated.  Therefore, the reserve was used to fund the </w:t>
      </w:r>
      <w:r w:rsidR="00E20993">
        <w:rPr>
          <w:rFonts w:ascii="Arial" w:hAnsi="Arial" w:cs="Arial"/>
          <w:sz w:val="22"/>
        </w:rPr>
        <w:t xml:space="preserve">FY 2010-11 </w:t>
      </w:r>
      <w:r w:rsidRPr="005E2B13">
        <w:rPr>
          <w:rFonts w:ascii="Arial" w:hAnsi="Arial" w:cs="Arial"/>
          <w:sz w:val="22"/>
        </w:rPr>
        <w:t xml:space="preserve">budgeted </w:t>
      </w:r>
      <w:r>
        <w:rPr>
          <w:rFonts w:ascii="Arial" w:hAnsi="Arial" w:cs="Arial"/>
          <w:sz w:val="22"/>
        </w:rPr>
        <w:t xml:space="preserve">plan </w:t>
      </w:r>
      <w:r w:rsidRPr="005E2B13">
        <w:rPr>
          <w:rFonts w:ascii="Arial" w:hAnsi="Arial" w:cs="Arial"/>
          <w:sz w:val="22"/>
        </w:rPr>
        <w:t>increase.  At that time, staff indicated that a recommendation for the $1,216,000 cost savings</w:t>
      </w:r>
      <w:r w:rsidR="001A4FCD">
        <w:rPr>
          <w:rFonts w:ascii="Arial" w:hAnsi="Arial" w:cs="Arial"/>
          <w:sz w:val="22"/>
        </w:rPr>
        <w:t xml:space="preserve"> realized in the operating budget</w:t>
      </w:r>
      <w:r w:rsidRPr="005E2B13">
        <w:rPr>
          <w:rFonts w:ascii="Arial" w:hAnsi="Arial" w:cs="Arial"/>
          <w:sz w:val="22"/>
        </w:rPr>
        <w:t xml:space="preserve"> would be forthcoming to the Joint Boards this fall.  Staff recommends that the Joint Boards consider offering employees a one-time bonus payment of $350 as an affordable way to show appreciation of the</w:t>
      </w:r>
      <w:r>
        <w:rPr>
          <w:rFonts w:ascii="Arial" w:hAnsi="Arial" w:cs="Arial"/>
          <w:sz w:val="22"/>
        </w:rPr>
        <w:t>ir</w:t>
      </w:r>
      <w:r w:rsidRPr="005E2B13">
        <w:rPr>
          <w:rFonts w:ascii="Arial" w:hAnsi="Arial" w:cs="Arial"/>
          <w:sz w:val="22"/>
        </w:rPr>
        <w:t xml:space="preserve"> dedicated service</w:t>
      </w:r>
      <w:r w:rsidR="00E20993">
        <w:rPr>
          <w:rFonts w:ascii="Arial" w:hAnsi="Arial" w:cs="Arial"/>
          <w:sz w:val="22"/>
        </w:rPr>
        <w:t xml:space="preserve"> during the past two years of staffing reductions and reallocation</w:t>
      </w:r>
      <w:r w:rsidRPr="005E2B13">
        <w:rPr>
          <w:rFonts w:ascii="Arial" w:hAnsi="Arial" w:cs="Arial"/>
          <w:sz w:val="22"/>
        </w:rPr>
        <w:t>.</w:t>
      </w:r>
      <w:r>
        <w:rPr>
          <w:rFonts w:ascii="Arial" w:hAnsi="Arial" w:cs="Arial"/>
          <w:sz w:val="22"/>
        </w:rPr>
        <w:t xml:space="preserve">  To receive the bonus, an employee must have been hired on or before December 31, 2009. </w:t>
      </w:r>
      <w:r w:rsidRPr="005E2B13">
        <w:rPr>
          <w:rFonts w:ascii="Arial" w:hAnsi="Arial" w:cs="Arial"/>
          <w:sz w:val="22"/>
        </w:rPr>
        <w:t>A one-time bonus does not create an ongoing future salary obligation</w:t>
      </w:r>
      <w:r>
        <w:rPr>
          <w:rFonts w:ascii="Arial" w:hAnsi="Arial" w:cs="Arial"/>
          <w:sz w:val="22"/>
        </w:rPr>
        <w:t>,</w:t>
      </w:r>
      <w:r w:rsidRPr="005E2B13">
        <w:rPr>
          <w:rFonts w:ascii="Arial" w:hAnsi="Arial" w:cs="Arial"/>
          <w:sz w:val="22"/>
        </w:rPr>
        <w:t xml:space="preserve"> yet acknowledges the impact of the current economic situation</w:t>
      </w:r>
      <w:r w:rsidR="001A4FCD">
        <w:rPr>
          <w:rFonts w:ascii="Arial" w:hAnsi="Arial" w:cs="Arial"/>
          <w:sz w:val="22"/>
        </w:rPr>
        <w:t xml:space="preserve"> and it’s impact on the organization</w:t>
      </w:r>
      <w:r w:rsidR="00E20993">
        <w:rPr>
          <w:rFonts w:ascii="Arial" w:hAnsi="Arial" w:cs="Arial"/>
          <w:sz w:val="22"/>
        </w:rPr>
        <w:t xml:space="preserve"> </w:t>
      </w:r>
      <w:r w:rsidR="00DC387B">
        <w:rPr>
          <w:rFonts w:ascii="Arial" w:hAnsi="Arial" w:cs="Arial"/>
          <w:sz w:val="22"/>
        </w:rPr>
        <w:t>and</w:t>
      </w:r>
      <w:r w:rsidR="00E20993">
        <w:rPr>
          <w:rFonts w:ascii="Arial" w:hAnsi="Arial" w:cs="Arial"/>
          <w:sz w:val="22"/>
        </w:rPr>
        <w:t xml:space="preserve"> our workforce.</w:t>
      </w:r>
      <w:r w:rsidRPr="005E2B13">
        <w:rPr>
          <w:rFonts w:ascii="Arial" w:hAnsi="Arial" w:cs="Arial"/>
          <w:sz w:val="22"/>
        </w:rPr>
        <w:t xml:space="preserve">  </w:t>
      </w:r>
    </w:p>
    <w:p w:rsidR="00CD17D0" w:rsidRPr="005E2B13" w:rsidRDefault="00CD17D0" w:rsidP="00CD17D0">
      <w:pPr>
        <w:jc w:val="both"/>
        <w:rPr>
          <w:rFonts w:ascii="Arial" w:hAnsi="Arial" w:cs="Arial"/>
          <w:sz w:val="22"/>
        </w:rPr>
      </w:pPr>
    </w:p>
    <w:p w:rsidR="00CD17D0" w:rsidRPr="005E2B13" w:rsidRDefault="00CD17D0" w:rsidP="00CD17D0">
      <w:pPr>
        <w:jc w:val="both"/>
        <w:rPr>
          <w:rFonts w:ascii="Arial" w:hAnsi="Arial" w:cs="Arial"/>
          <w:i/>
          <w:sz w:val="22"/>
          <w:u w:val="single"/>
        </w:rPr>
      </w:pPr>
      <w:r w:rsidRPr="005E2B13">
        <w:rPr>
          <w:rFonts w:ascii="Arial" w:hAnsi="Arial" w:cs="Arial"/>
          <w:b/>
          <w:sz w:val="22"/>
        </w:rPr>
        <w:lastRenderedPageBreak/>
        <w:t>FY11-12 Plan Year Projections - Medical and Dental</w:t>
      </w:r>
    </w:p>
    <w:p w:rsidR="000D1F87" w:rsidRPr="00D1729E" w:rsidRDefault="00CD17D0" w:rsidP="000D1F87">
      <w:pPr>
        <w:pStyle w:val="BodyText3"/>
        <w:rPr>
          <w:rFonts w:ascii="Arial" w:hAnsi="Arial" w:cs="Arial"/>
          <w:sz w:val="22"/>
          <w:szCs w:val="22"/>
        </w:rPr>
      </w:pPr>
      <w:r w:rsidRPr="005E2B13">
        <w:rPr>
          <w:rFonts w:ascii="Arial" w:hAnsi="Arial" w:cs="Arial"/>
          <w:sz w:val="22"/>
        </w:rPr>
        <w:t xml:space="preserve">Based on claims data and trend information provided by our </w:t>
      </w:r>
      <w:r w:rsidRPr="00A14A0D">
        <w:rPr>
          <w:rFonts w:ascii="Arial" w:hAnsi="Arial" w:cs="Arial"/>
          <w:sz w:val="22"/>
        </w:rPr>
        <w:t xml:space="preserve">benefits consultant Tom Mackay with KSPH, </w:t>
      </w:r>
      <w:r w:rsidR="009B6E15" w:rsidRPr="00A14A0D">
        <w:rPr>
          <w:rFonts w:ascii="Arial" w:hAnsi="Arial" w:cs="Arial"/>
          <w:sz w:val="22"/>
        </w:rPr>
        <w:t>our projected</w:t>
      </w:r>
      <w:r w:rsidR="000D1F87" w:rsidRPr="00A14A0D">
        <w:rPr>
          <w:rFonts w:ascii="Arial" w:hAnsi="Arial" w:cs="Arial"/>
          <w:sz w:val="22"/>
        </w:rPr>
        <w:t xml:space="preserve"> </w:t>
      </w:r>
      <w:r w:rsidRPr="00A14A0D">
        <w:rPr>
          <w:rFonts w:ascii="Arial" w:hAnsi="Arial" w:cs="Arial"/>
          <w:sz w:val="22"/>
        </w:rPr>
        <w:t xml:space="preserve">medical cost increase for FY11-12 is </w:t>
      </w:r>
      <w:r w:rsidR="000D1F87" w:rsidRPr="00A14A0D">
        <w:rPr>
          <w:rFonts w:ascii="Arial" w:hAnsi="Arial" w:cs="Arial"/>
          <w:sz w:val="22"/>
        </w:rPr>
        <w:t>5</w:t>
      </w:r>
      <w:r w:rsidRPr="00A14A0D">
        <w:rPr>
          <w:rFonts w:ascii="Arial" w:hAnsi="Arial" w:cs="Arial"/>
          <w:sz w:val="22"/>
        </w:rPr>
        <w:t>%.</w:t>
      </w:r>
      <w:r w:rsidRPr="005E2B13">
        <w:rPr>
          <w:rFonts w:ascii="Arial" w:hAnsi="Arial" w:cs="Arial"/>
          <w:sz w:val="22"/>
        </w:rPr>
        <w:t xml:space="preserve">  </w:t>
      </w:r>
      <w:r w:rsidR="00E20993">
        <w:rPr>
          <w:rFonts w:ascii="Arial" w:hAnsi="Arial" w:cs="Arial"/>
          <w:sz w:val="22"/>
        </w:rPr>
        <w:t>However, b</w:t>
      </w:r>
      <w:r w:rsidRPr="005E2B13">
        <w:rPr>
          <w:rFonts w:ascii="Arial" w:hAnsi="Arial" w:cs="Arial"/>
          <w:sz w:val="22"/>
        </w:rPr>
        <w:t xml:space="preserve">ased on the current </w:t>
      </w:r>
      <w:r w:rsidR="00CA0FAD">
        <w:rPr>
          <w:rFonts w:ascii="Arial" w:hAnsi="Arial" w:cs="Arial"/>
          <w:sz w:val="22"/>
        </w:rPr>
        <w:t>balance in the Health Care Reserve Fund,</w:t>
      </w:r>
      <w:r w:rsidRPr="005E2B13">
        <w:rPr>
          <w:rFonts w:ascii="Arial" w:hAnsi="Arial" w:cs="Arial"/>
          <w:sz w:val="22"/>
        </w:rPr>
        <w:t xml:space="preserve"> staff </w:t>
      </w:r>
      <w:r>
        <w:rPr>
          <w:rFonts w:ascii="Arial" w:hAnsi="Arial" w:cs="Arial"/>
          <w:sz w:val="22"/>
        </w:rPr>
        <w:t xml:space="preserve">recommends </w:t>
      </w:r>
      <w:r w:rsidRPr="005E2B13">
        <w:rPr>
          <w:rFonts w:ascii="Arial" w:hAnsi="Arial" w:cs="Arial"/>
          <w:sz w:val="22"/>
        </w:rPr>
        <w:t>utiliz</w:t>
      </w:r>
      <w:r>
        <w:rPr>
          <w:rFonts w:ascii="Arial" w:hAnsi="Arial" w:cs="Arial"/>
          <w:sz w:val="22"/>
        </w:rPr>
        <w:t xml:space="preserve">ing </w:t>
      </w:r>
      <w:r w:rsidRPr="005E2B13">
        <w:rPr>
          <w:rFonts w:ascii="Arial" w:hAnsi="Arial" w:cs="Arial"/>
          <w:sz w:val="22"/>
        </w:rPr>
        <w:t>our strong reserves to offset</w:t>
      </w:r>
      <w:r>
        <w:rPr>
          <w:rFonts w:ascii="Arial" w:hAnsi="Arial" w:cs="Arial"/>
          <w:sz w:val="22"/>
        </w:rPr>
        <w:t xml:space="preserve"> </w:t>
      </w:r>
      <w:r w:rsidRPr="005E2B13">
        <w:rPr>
          <w:rFonts w:ascii="Arial" w:hAnsi="Arial" w:cs="Arial"/>
          <w:sz w:val="22"/>
        </w:rPr>
        <w:t xml:space="preserve"> the </w:t>
      </w:r>
      <w:r w:rsidR="00CA0FAD">
        <w:rPr>
          <w:rFonts w:ascii="Arial" w:hAnsi="Arial" w:cs="Arial"/>
          <w:sz w:val="22"/>
        </w:rPr>
        <w:t xml:space="preserve">projected </w:t>
      </w:r>
      <w:r w:rsidRPr="005E2B13">
        <w:rPr>
          <w:rFonts w:ascii="Arial" w:hAnsi="Arial" w:cs="Arial"/>
          <w:sz w:val="22"/>
        </w:rPr>
        <w:t>medical increase in the coming fiscal year</w:t>
      </w:r>
      <w:r w:rsidR="00E20993">
        <w:rPr>
          <w:rFonts w:ascii="Arial" w:hAnsi="Arial" w:cs="Arial"/>
          <w:sz w:val="22"/>
        </w:rPr>
        <w:t>.</w:t>
      </w:r>
      <w:r w:rsidR="00E20993">
        <w:rPr>
          <w:rFonts w:ascii="Arial" w:hAnsi="Arial" w:cs="Arial"/>
          <w:sz w:val="22"/>
          <w:szCs w:val="22"/>
        </w:rPr>
        <w:t xml:space="preserve">  Staff plans to do additional analysis of the reserve to determine if further savings may be possible in the future.  This analysis will include consideration of potential future plan increases as a result of Federal Health Care Reform.</w:t>
      </w:r>
    </w:p>
    <w:p w:rsidR="00CD17D0" w:rsidRPr="005E2B13" w:rsidRDefault="00CD17D0" w:rsidP="00CD17D0">
      <w:pPr>
        <w:rPr>
          <w:rFonts w:ascii="Arial" w:hAnsi="Arial" w:cs="Arial"/>
          <w:b/>
          <w:sz w:val="22"/>
          <w:u w:val="single"/>
        </w:rPr>
      </w:pPr>
      <w:r w:rsidRPr="005E2B13">
        <w:rPr>
          <w:rFonts w:ascii="Arial" w:hAnsi="Arial" w:cs="Arial"/>
          <w:sz w:val="22"/>
        </w:rPr>
        <w:t xml:space="preserve"> </w:t>
      </w:r>
    </w:p>
    <w:p w:rsidR="00CD17D0" w:rsidRPr="005E2B13" w:rsidRDefault="00CD17D0" w:rsidP="00CD17D0">
      <w:pPr>
        <w:jc w:val="both"/>
        <w:rPr>
          <w:rFonts w:ascii="Arial" w:hAnsi="Arial" w:cs="Arial"/>
          <w:sz w:val="22"/>
        </w:rPr>
      </w:pPr>
      <w:r w:rsidRPr="005E2B13">
        <w:rPr>
          <w:rFonts w:ascii="Arial" w:hAnsi="Arial" w:cs="Arial"/>
          <w:sz w:val="22"/>
        </w:rPr>
        <w:t xml:space="preserve">Our dental insurance cost increase is estimated at </w:t>
      </w:r>
      <w:r w:rsidR="000D1F87">
        <w:rPr>
          <w:rFonts w:ascii="Arial" w:hAnsi="Arial" w:cs="Arial"/>
          <w:sz w:val="22"/>
        </w:rPr>
        <w:t>7</w:t>
      </w:r>
      <w:r w:rsidRPr="00A14A0D">
        <w:rPr>
          <w:rFonts w:ascii="Arial" w:hAnsi="Arial" w:cs="Arial"/>
          <w:sz w:val="22"/>
        </w:rPr>
        <w:t>%.</w:t>
      </w:r>
      <w:r w:rsidRPr="005E2B13">
        <w:rPr>
          <w:rFonts w:ascii="Arial" w:hAnsi="Arial" w:cs="Arial"/>
          <w:sz w:val="22"/>
        </w:rPr>
        <w:t xml:space="preserve">  As we have just started the new plan year, staff will continue to monitor claims experience and develop recommendations for both plan design and premiums as part of the County Executive's and Superintendent's budget proposals. </w:t>
      </w:r>
    </w:p>
    <w:p w:rsidR="00CD17D0" w:rsidRDefault="00CD17D0" w:rsidP="00CD17D0">
      <w:pPr>
        <w:tabs>
          <w:tab w:val="left" w:pos="12780"/>
        </w:tabs>
        <w:rPr>
          <w:rFonts w:ascii="Arial" w:hAnsi="Arial" w:cs="Arial"/>
          <w:b/>
          <w:sz w:val="22"/>
        </w:rPr>
      </w:pPr>
    </w:p>
    <w:p w:rsidR="00040CDC" w:rsidRDefault="00040CDC" w:rsidP="00CD17D0">
      <w:pPr>
        <w:tabs>
          <w:tab w:val="left" w:pos="12780"/>
        </w:tabs>
        <w:rPr>
          <w:rFonts w:ascii="Arial" w:hAnsi="Arial" w:cs="Arial"/>
          <w:b/>
          <w:sz w:val="22"/>
        </w:rPr>
      </w:pPr>
    </w:p>
    <w:p w:rsidR="00CD17D0" w:rsidRPr="002C7201" w:rsidRDefault="00CD17D0" w:rsidP="00CD17D0">
      <w:pPr>
        <w:tabs>
          <w:tab w:val="left" w:pos="12780"/>
        </w:tabs>
        <w:rPr>
          <w:rFonts w:ascii="Arial" w:hAnsi="Arial" w:cs="Arial"/>
          <w:b/>
          <w:sz w:val="22"/>
        </w:rPr>
      </w:pPr>
      <w:r w:rsidRPr="005217D9">
        <w:rPr>
          <w:rFonts w:ascii="Arial" w:hAnsi="Arial" w:cs="Arial"/>
          <w:b/>
          <w:sz w:val="22"/>
        </w:rPr>
        <w:t>Review of VRS</w:t>
      </w:r>
    </w:p>
    <w:p w:rsidR="004D6DBD" w:rsidRDefault="00CD17D0" w:rsidP="00CD17D0">
      <w:pPr>
        <w:rPr>
          <w:rFonts w:ascii="Arial" w:hAnsi="Arial" w:cs="Arial"/>
          <w:sz w:val="22"/>
        </w:rPr>
      </w:pPr>
      <w:r w:rsidRPr="005E2B13">
        <w:rPr>
          <w:rFonts w:ascii="Arial" w:hAnsi="Arial" w:cs="Arial"/>
          <w:sz w:val="22"/>
        </w:rPr>
        <w:t xml:space="preserve">The Virginia General Assembly adopted several benefit plan changes for VRS for employees hired on or after July 1, 2010.  At the June 9, 2010 Joint Board meeting, staff presented information on those plan design changes. One change stipulated that employees hired on or after July 1, 2010 with no prior service credit </w:t>
      </w:r>
      <w:r w:rsidR="004D6DBD">
        <w:rPr>
          <w:rFonts w:ascii="Arial" w:hAnsi="Arial" w:cs="Arial"/>
          <w:sz w:val="22"/>
        </w:rPr>
        <w:t xml:space="preserve">(VRS ‘Plan 2’ employees) </w:t>
      </w:r>
      <w:r w:rsidRPr="005E2B13">
        <w:rPr>
          <w:rFonts w:ascii="Arial" w:hAnsi="Arial" w:cs="Arial"/>
          <w:sz w:val="22"/>
        </w:rPr>
        <w:t>must pay their VRS member contribution unless the</w:t>
      </w:r>
      <w:r w:rsidR="004D6DBD">
        <w:rPr>
          <w:rFonts w:ascii="Arial" w:hAnsi="Arial" w:cs="Arial"/>
          <w:sz w:val="22"/>
        </w:rPr>
        <w:t>ir</w:t>
      </w:r>
      <w:r w:rsidRPr="005E2B13">
        <w:rPr>
          <w:rFonts w:ascii="Arial" w:hAnsi="Arial" w:cs="Arial"/>
          <w:sz w:val="22"/>
        </w:rPr>
        <w:t xml:space="preserve"> employer elects to pick-up (in whole or in part) the five percent (5%) member</w:t>
      </w:r>
      <w:r>
        <w:rPr>
          <w:rFonts w:ascii="Arial" w:hAnsi="Arial" w:cs="Arial"/>
          <w:sz w:val="22"/>
        </w:rPr>
        <w:t xml:space="preserve"> contribution. </w:t>
      </w:r>
    </w:p>
    <w:p w:rsidR="004D6DBD" w:rsidRDefault="004D6DBD" w:rsidP="00CD17D0">
      <w:pPr>
        <w:rPr>
          <w:rFonts w:ascii="Arial" w:hAnsi="Arial" w:cs="Arial"/>
          <w:sz w:val="22"/>
        </w:rPr>
      </w:pPr>
    </w:p>
    <w:p w:rsidR="00CD17D0" w:rsidRDefault="004D6DBD" w:rsidP="00CD17D0">
      <w:pPr>
        <w:rPr>
          <w:rFonts w:ascii="Arial" w:hAnsi="Arial" w:cs="Arial"/>
          <w:sz w:val="22"/>
        </w:rPr>
      </w:pPr>
      <w:r w:rsidRPr="005E2B13">
        <w:rPr>
          <w:rFonts w:ascii="Arial" w:hAnsi="Arial" w:cs="Arial"/>
          <w:sz w:val="22"/>
        </w:rPr>
        <w:t xml:space="preserve">Localities and school divisions may elect to pick-up, in whole or in part (in </w:t>
      </w:r>
      <w:r>
        <w:rPr>
          <w:rFonts w:ascii="Arial" w:hAnsi="Arial" w:cs="Arial"/>
          <w:sz w:val="22"/>
        </w:rPr>
        <w:t>whole</w:t>
      </w:r>
      <w:r w:rsidRPr="005E2B13">
        <w:rPr>
          <w:rFonts w:ascii="Arial" w:hAnsi="Arial" w:cs="Arial"/>
          <w:sz w:val="22"/>
        </w:rPr>
        <w:t xml:space="preserve"> percent increments) the 5% member contribution for </w:t>
      </w:r>
      <w:r>
        <w:rPr>
          <w:rFonts w:ascii="Arial" w:hAnsi="Arial" w:cs="Arial"/>
          <w:sz w:val="22"/>
        </w:rPr>
        <w:t xml:space="preserve">their </w:t>
      </w:r>
      <w:r w:rsidRPr="005E2B13">
        <w:rPr>
          <w:rFonts w:ascii="Arial" w:hAnsi="Arial" w:cs="Arial"/>
          <w:sz w:val="22"/>
        </w:rPr>
        <w:t>new VRS Plan 2</w:t>
      </w:r>
      <w:r>
        <w:rPr>
          <w:rFonts w:ascii="Arial" w:hAnsi="Arial" w:cs="Arial"/>
          <w:sz w:val="22"/>
        </w:rPr>
        <w:t xml:space="preserve"> </w:t>
      </w:r>
      <w:r w:rsidRPr="005E2B13">
        <w:rPr>
          <w:rFonts w:ascii="Arial" w:hAnsi="Arial" w:cs="Arial"/>
          <w:sz w:val="22"/>
        </w:rPr>
        <w:t>employees.</w:t>
      </w:r>
      <w:r>
        <w:rPr>
          <w:rFonts w:ascii="Arial" w:hAnsi="Arial" w:cs="Arial"/>
          <w:sz w:val="22"/>
        </w:rPr>
        <w:t xml:space="preserve">  </w:t>
      </w:r>
      <w:r w:rsidR="00CD17D0" w:rsidRPr="005E2B13">
        <w:rPr>
          <w:rFonts w:ascii="Arial" w:hAnsi="Arial" w:cs="Arial"/>
          <w:sz w:val="22"/>
        </w:rPr>
        <w:t xml:space="preserve">The </w:t>
      </w:r>
      <w:r>
        <w:rPr>
          <w:rFonts w:ascii="Arial" w:hAnsi="Arial" w:cs="Arial"/>
          <w:sz w:val="22"/>
        </w:rPr>
        <w:t xml:space="preserve">employer’s </w:t>
      </w:r>
      <w:r w:rsidR="00CD17D0" w:rsidRPr="005E2B13">
        <w:rPr>
          <w:rFonts w:ascii="Arial" w:hAnsi="Arial" w:cs="Arial"/>
          <w:sz w:val="22"/>
        </w:rPr>
        <w:t>decision to pay all or a portion of the member contribution for new employees is not irr</w:t>
      </w:r>
      <w:r w:rsidR="00CD17D0">
        <w:rPr>
          <w:rFonts w:ascii="Arial" w:hAnsi="Arial" w:cs="Arial"/>
          <w:sz w:val="22"/>
        </w:rPr>
        <w:t>evocable;</w:t>
      </w:r>
      <w:r w:rsidR="00CD17D0" w:rsidRPr="005E2B13">
        <w:rPr>
          <w:rFonts w:ascii="Arial" w:hAnsi="Arial" w:cs="Arial"/>
          <w:sz w:val="22"/>
        </w:rPr>
        <w:t xml:space="preserve"> however that decision must remain in effect for a full fiscal year (July 1 – June 30).  Any change becomes effective the beginning of the next fiscal year. VRS requires that a resolution be adopted by any county or school board that elects to pay any portion of the employee contribution. </w:t>
      </w:r>
      <w:bookmarkStart w:id="0" w:name="recommendation"/>
      <w:bookmarkEnd w:id="0"/>
      <w:r w:rsidR="00CD17D0" w:rsidRPr="005E2B13">
        <w:rPr>
          <w:rFonts w:ascii="Arial" w:hAnsi="Arial" w:cs="Arial"/>
          <w:sz w:val="22"/>
        </w:rPr>
        <w:t xml:space="preserve"> </w:t>
      </w:r>
    </w:p>
    <w:p w:rsidR="00CD17D0" w:rsidRDefault="00CD17D0" w:rsidP="00CD17D0">
      <w:pPr>
        <w:rPr>
          <w:rFonts w:ascii="Arial" w:hAnsi="Arial" w:cs="Arial"/>
          <w:sz w:val="22"/>
        </w:rPr>
      </w:pPr>
    </w:p>
    <w:p w:rsidR="00CD17D0" w:rsidRPr="005E2B13" w:rsidRDefault="00CD17D0" w:rsidP="00CD17D0">
      <w:pPr>
        <w:rPr>
          <w:rFonts w:ascii="Arial" w:hAnsi="Arial" w:cs="Arial"/>
          <w:sz w:val="22"/>
        </w:rPr>
      </w:pPr>
      <w:r w:rsidRPr="005E2B13">
        <w:rPr>
          <w:rFonts w:ascii="Arial" w:hAnsi="Arial" w:cs="Arial"/>
          <w:sz w:val="22"/>
        </w:rPr>
        <w:t>The Joint Boards did not take action</w:t>
      </w:r>
      <w:r>
        <w:rPr>
          <w:rFonts w:ascii="Arial" w:hAnsi="Arial" w:cs="Arial"/>
          <w:sz w:val="22"/>
        </w:rPr>
        <w:t xml:space="preserve"> at the June meeting</w:t>
      </w:r>
      <w:r w:rsidRPr="005E2B13">
        <w:rPr>
          <w:rFonts w:ascii="Arial" w:hAnsi="Arial" w:cs="Arial"/>
          <w:sz w:val="22"/>
        </w:rPr>
        <w:t xml:space="preserve">; therefore </w:t>
      </w:r>
      <w:r w:rsidR="004D6DBD">
        <w:rPr>
          <w:rFonts w:ascii="Arial" w:hAnsi="Arial" w:cs="Arial"/>
          <w:sz w:val="22"/>
        </w:rPr>
        <w:t xml:space="preserve">by default </w:t>
      </w:r>
      <w:r w:rsidRPr="005E2B13">
        <w:rPr>
          <w:rFonts w:ascii="Arial" w:hAnsi="Arial" w:cs="Arial"/>
          <w:sz w:val="22"/>
        </w:rPr>
        <w:t xml:space="preserve">employees hired after July 1, 2010 and not </w:t>
      </w:r>
      <w:r w:rsidR="004D6DBD">
        <w:rPr>
          <w:rFonts w:ascii="Arial" w:hAnsi="Arial" w:cs="Arial"/>
          <w:sz w:val="22"/>
        </w:rPr>
        <w:t>already</w:t>
      </w:r>
      <w:r w:rsidR="004D6DBD" w:rsidRPr="005E2B13">
        <w:rPr>
          <w:rFonts w:ascii="Arial" w:hAnsi="Arial" w:cs="Arial"/>
          <w:sz w:val="22"/>
        </w:rPr>
        <w:t xml:space="preserve"> </w:t>
      </w:r>
      <w:r w:rsidRPr="005E2B13">
        <w:rPr>
          <w:rFonts w:ascii="Arial" w:hAnsi="Arial" w:cs="Arial"/>
          <w:sz w:val="22"/>
        </w:rPr>
        <w:t xml:space="preserve">in the VRS Plan 1 are required to </w:t>
      </w:r>
      <w:r w:rsidR="004D6DBD">
        <w:rPr>
          <w:rFonts w:ascii="Arial" w:hAnsi="Arial" w:cs="Arial"/>
          <w:sz w:val="22"/>
        </w:rPr>
        <w:t>pay</w:t>
      </w:r>
      <w:r w:rsidRPr="005E2B13">
        <w:rPr>
          <w:rFonts w:ascii="Arial" w:hAnsi="Arial" w:cs="Arial"/>
          <w:sz w:val="22"/>
        </w:rPr>
        <w:t xml:space="preserve"> 5% </w:t>
      </w:r>
      <w:r w:rsidR="004D6DBD">
        <w:rPr>
          <w:rFonts w:ascii="Arial" w:hAnsi="Arial" w:cs="Arial"/>
          <w:sz w:val="22"/>
        </w:rPr>
        <w:t xml:space="preserve">of their salary for their </w:t>
      </w:r>
      <w:r w:rsidRPr="005E2B13">
        <w:rPr>
          <w:rFonts w:ascii="Arial" w:hAnsi="Arial" w:cs="Arial"/>
          <w:sz w:val="22"/>
        </w:rPr>
        <w:t>member contribution.  The Joint Boards directed staff to a</w:t>
      </w:r>
      <w:r>
        <w:rPr>
          <w:rFonts w:ascii="Arial" w:hAnsi="Arial" w:cs="Arial"/>
          <w:sz w:val="22"/>
        </w:rPr>
        <w:t>s</w:t>
      </w:r>
      <w:r w:rsidRPr="005E2B13">
        <w:rPr>
          <w:rFonts w:ascii="Arial" w:hAnsi="Arial" w:cs="Arial"/>
          <w:sz w:val="22"/>
        </w:rPr>
        <w:t>sess market trends and present a recommendation for FY2011-12 to the Joint Boards in early fall.</w:t>
      </w:r>
    </w:p>
    <w:p w:rsidR="00CD17D0" w:rsidRPr="005E2B13" w:rsidRDefault="00CD17D0" w:rsidP="00CD17D0">
      <w:pPr>
        <w:rPr>
          <w:rFonts w:ascii="Arial" w:hAnsi="Arial" w:cs="Arial"/>
          <w:sz w:val="22"/>
        </w:rPr>
      </w:pPr>
    </w:p>
    <w:p w:rsidR="00CD17D0" w:rsidRPr="005E2B13" w:rsidRDefault="00CD17D0" w:rsidP="00CD17D0">
      <w:pPr>
        <w:rPr>
          <w:rFonts w:ascii="Arial" w:hAnsi="Arial" w:cs="Arial"/>
          <w:sz w:val="22"/>
        </w:rPr>
      </w:pPr>
      <w:r>
        <w:rPr>
          <w:rFonts w:ascii="Arial" w:hAnsi="Arial" w:cs="Arial"/>
          <w:sz w:val="22"/>
        </w:rPr>
        <w:t xml:space="preserve">Market data indicates that the majority </w:t>
      </w:r>
      <w:r w:rsidR="00D85E1D" w:rsidRPr="00652924">
        <w:rPr>
          <w:rFonts w:ascii="Arial" w:hAnsi="Arial" w:cs="Arial"/>
          <w:sz w:val="22"/>
        </w:rPr>
        <w:t>(</w:t>
      </w:r>
      <w:r w:rsidR="00652924">
        <w:rPr>
          <w:rFonts w:ascii="Arial" w:hAnsi="Arial" w:cs="Arial"/>
          <w:sz w:val="22"/>
        </w:rPr>
        <w:t>74</w:t>
      </w:r>
      <w:r w:rsidR="00D85E1D" w:rsidRPr="00652924">
        <w:rPr>
          <w:rFonts w:ascii="Arial" w:hAnsi="Arial" w:cs="Arial"/>
          <w:sz w:val="22"/>
        </w:rPr>
        <w:t>%)</w:t>
      </w:r>
      <w:r>
        <w:rPr>
          <w:rFonts w:ascii="Arial" w:hAnsi="Arial" w:cs="Arial"/>
          <w:sz w:val="22"/>
        </w:rPr>
        <w:t xml:space="preserve"> of the Joint Board adopted market is not requiring newly hired employees to fund the member contribution.   </w:t>
      </w:r>
      <w:r w:rsidR="00040CDC" w:rsidRPr="00040CDC">
        <w:rPr>
          <w:rFonts w:ascii="Arial" w:hAnsi="Arial" w:cs="Arial"/>
          <w:noProof/>
          <w:sz w:val="22"/>
        </w:rPr>
        <w:lastRenderedPageBreak/>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0CDC" w:rsidRDefault="00040CDC" w:rsidP="00CD17D0">
      <w:pPr>
        <w:rPr>
          <w:rFonts w:ascii="Arial" w:hAnsi="Arial" w:cs="Arial"/>
          <w:sz w:val="22"/>
        </w:rPr>
      </w:pPr>
    </w:p>
    <w:p w:rsidR="00040CDC" w:rsidRPr="005E2B13" w:rsidRDefault="00040CDC" w:rsidP="00040CDC">
      <w:pPr>
        <w:rPr>
          <w:rFonts w:ascii="Arial" w:hAnsi="Arial" w:cs="Arial"/>
          <w:sz w:val="22"/>
        </w:rPr>
      </w:pPr>
      <w:r>
        <w:rPr>
          <w:rFonts w:ascii="Arial" w:hAnsi="Arial" w:cs="Arial"/>
          <w:sz w:val="22"/>
        </w:rPr>
        <w:t xml:space="preserve">Most localities and school divisions throughout the state have chosen to cover their employees’ contribution as data obtained from VRS indicates. </w:t>
      </w:r>
    </w:p>
    <w:p w:rsidR="00040CDC" w:rsidRDefault="00040CDC" w:rsidP="00040CDC">
      <w:pPr>
        <w:rPr>
          <w:rFonts w:ascii="Arial" w:hAnsi="Arial" w:cs="Arial"/>
          <w:sz w:val="22"/>
        </w:rPr>
      </w:pPr>
    </w:p>
    <w:p w:rsidR="00040CDC" w:rsidRDefault="00040CDC" w:rsidP="00040CDC">
      <w:pPr>
        <w:rPr>
          <w:rFonts w:ascii="Arial" w:hAnsi="Arial" w:cs="Arial"/>
          <w:sz w:val="22"/>
        </w:rPr>
      </w:pPr>
      <w:r w:rsidRPr="00040CDC">
        <w:rPr>
          <w:rFonts w:ascii="Arial" w:hAnsi="Arial" w:cs="Arial"/>
          <w:noProof/>
          <w:sz w:val="22"/>
        </w:rPr>
        <w:drawing>
          <wp:inline distT="0" distB="0" distL="0" distR="0">
            <wp:extent cx="3657600" cy="1647825"/>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0CDC" w:rsidRDefault="00040CDC" w:rsidP="00040CDC">
      <w:pPr>
        <w:rPr>
          <w:rFonts w:ascii="Arial" w:hAnsi="Arial" w:cs="Arial"/>
          <w:sz w:val="22"/>
        </w:rPr>
      </w:pPr>
    </w:p>
    <w:p w:rsidR="00040CDC" w:rsidRDefault="00040CDC" w:rsidP="00040CDC">
      <w:pPr>
        <w:rPr>
          <w:rFonts w:ascii="Arial" w:hAnsi="Arial" w:cs="Arial"/>
          <w:sz w:val="22"/>
        </w:rPr>
      </w:pPr>
    </w:p>
    <w:p w:rsidR="00040CDC" w:rsidRDefault="00040CDC" w:rsidP="00040CDC">
      <w:pPr>
        <w:rPr>
          <w:rFonts w:ascii="Arial" w:hAnsi="Arial" w:cs="Arial"/>
          <w:sz w:val="22"/>
        </w:rPr>
      </w:pPr>
    </w:p>
    <w:p w:rsidR="00040CDC" w:rsidRPr="005E2B13" w:rsidRDefault="00040CDC" w:rsidP="00040CDC">
      <w:pPr>
        <w:rPr>
          <w:rFonts w:ascii="Arial" w:hAnsi="Arial" w:cs="Arial"/>
          <w:sz w:val="22"/>
        </w:rPr>
      </w:pPr>
    </w:p>
    <w:p w:rsidR="00040CDC" w:rsidRDefault="00040CDC" w:rsidP="00CD17D0">
      <w:pPr>
        <w:rPr>
          <w:rFonts w:ascii="Arial" w:hAnsi="Arial" w:cs="Arial"/>
          <w:sz w:val="22"/>
        </w:rPr>
      </w:pPr>
    </w:p>
    <w:p w:rsidR="00CD17D0" w:rsidRDefault="00CD17D0" w:rsidP="00CD17D0">
      <w:pPr>
        <w:rPr>
          <w:rFonts w:ascii="Arial" w:hAnsi="Arial" w:cs="Arial"/>
          <w:sz w:val="22"/>
        </w:rPr>
      </w:pPr>
      <w:r>
        <w:rPr>
          <w:rFonts w:ascii="Arial" w:hAnsi="Arial" w:cs="Arial"/>
          <w:sz w:val="22"/>
        </w:rPr>
        <w:t xml:space="preserve">Based on this data, the impact on our ability to recruit new hires </w:t>
      </w:r>
      <w:r w:rsidR="00652924">
        <w:rPr>
          <w:rFonts w:ascii="Arial" w:hAnsi="Arial" w:cs="Arial"/>
          <w:sz w:val="22"/>
        </w:rPr>
        <w:t xml:space="preserve">not currently in VRS </w:t>
      </w:r>
      <w:r>
        <w:rPr>
          <w:rFonts w:ascii="Arial" w:hAnsi="Arial" w:cs="Arial"/>
          <w:sz w:val="22"/>
        </w:rPr>
        <w:t xml:space="preserve">will be negatively impacted, particularly for teachers and public safety positions. </w:t>
      </w:r>
    </w:p>
    <w:p w:rsidR="00CD17D0" w:rsidRPr="005E2B13" w:rsidRDefault="00CD17D0" w:rsidP="00CD17D0">
      <w:pPr>
        <w:rPr>
          <w:rFonts w:ascii="Arial" w:hAnsi="Arial" w:cs="Arial"/>
          <w:sz w:val="22"/>
        </w:rPr>
      </w:pPr>
    </w:p>
    <w:p w:rsidR="00CD17D0" w:rsidRPr="003F6F60" w:rsidRDefault="00CD17D0" w:rsidP="00CD17D0">
      <w:pPr>
        <w:rPr>
          <w:rFonts w:ascii="Arial" w:hAnsi="Arial" w:cs="Arial"/>
          <w:sz w:val="22"/>
          <w:szCs w:val="22"/>
        </w:rPr>
      </w:pPr>
      <w:r>
        <w:rPr>
          <w:rFonts w:ascii="Arial" w:hAnsi="Arial" w:cs="Arial"/>
          <w:sz w:val="22"/>
          <w:szCs w:val="22"/>
        </w:rPr>
        <w:t>Offering higher salaries to compensate for this inequity is not a desirable option as it would not alleviate inequities and salary costs would be increased by higher payroll taxes and higher benefit costs</w:t>
      </w:r>
      <w:r w:rsidRPr="003F6F60">
        <w:rPr>
          <w:rFonts w:ascii="Arial" w:hAnsi="Arial" w:cs="Arial"/>
          <w:sz w:val="22"/>
          <w:szCs w:val="22"/>
        </w:rPr>
        <w:t>. While having a higher salary scale for those VRS Plan 2 employees may seem like a way to make them ‘whole’ from the employee contribution deduction, there are a number of undesired effects that would occur</w:t>
      </w:r>
      <w:r>
        <w:rPr>
          <w:rFonts w:ascii="Arial" w:hAnsi="Arial" w:cs="Arial"/>
          <w:sz w:val="22"/>
          <w:szCs w:val="22"/>
        </w:rPr>
        <w:t>, including:</w:t>
      </w:r>
      <w:r w:rsidRPr="003F6F60">
        <w:rPr>
          <w:rFonts w:ascii="Arial" w:hAnsi="Arial" w:cs="Arial"/>
          <w:sz w:val="22"/>
          <w:szCs w:val="22"/>
        </w:rPr>
        <w:t xml:space="preserve"> </w:t>
      </w:r>
    </w:p>
    <w:p w:rsidR="00CD17D0" w:rsidRPr="003F6F60" w:rsidRDefault="00CD17D0" w:rsidP="00CD17D0">
      <w:pPr>
        <w:rPr>
          <w:rFonts w:ascii="Arial" w:hAnsi="Arial" w:cs="Arial"/>
          <w:sz w:val="22"/>
          <w:szCs w:val="22"/>
        </w:rPr>
      </w:pPr>
    </w:p>
    <w:p w:rsidR="00CD17D0" w:rsidRPr="003F6F60" w:rsidRDefault="00CD17D0" w:rsidP="00CD17D0">
      <w:pPr>
        <w:pStyle w:val="ListParagraph"/>
        <w:numPr>
          <w:ilvl w:val="0"/>
          <w:numId w:val="8"/>
        </w:numPr>
        <w:contextualSpacing w:val="0"/>
        <w:rPr>
          <w:rFonts w:ascii="Arial" w:hAnsi="Arial" w:cs="Arial"/>
          <w:sz w:val="22"/>
          <w:szCs w:val="22"/>
        </w:rPr>
      </w:pPr>
      <w:r w:rsidRPr="003F6F60">
        <w:rPr>
          <w:rFonts w:ascii="Arial" w:hAnsi="Arial" w:cs="Arial"/>
          <w:sz w:val="22"/>
          <w:szCs w:val="22"/>
        </w:rPr>
        <w:t xml:space="preserve">Because of a higher base salary, the County would experience higher costs in terms of life insurance premiums, FICA obligations, and the employer contribution for VRS would increase.  </w:t>
      </w:r>
    </w:p>
    <w:p w:rsidR="00CD17D0" w:rsidRPr="003F6F60" w:rsidRDefault="00CD17D0" w:rsidP="00CD17D0">
      <w:pPr>
        <w:rPr>
          <w:rFonts w:ascii="Arial" w:hAnsi="Arial" w:cs="Arial"/>
          <w:sz w:val="22"/>
          <w:szCs w:val="22"/>
        </w:rPr>
      </w:pPr>
    </w:p>
    <w:p w:rsidR="00CD17D0" w:rsidRPr="003F6F60" w:rsidRDefault="00CD17D0" w:rsidP="00CD17D0">
      <w:pPr>
        <w:pStyle w:val="ListParagraph"/>
        <w:numPr>
          <w:ilvl w:val="0"/>
          <w:numId w:val="8"/>
        </w:numPr>
        <w:contextualSpacing w:val="0"/>
        <w:rPr>
          <w:rFonts w:ascii="Arial" w:hAnsi="Arial" w:cs="Arial"/>
          <w:sz w:val="22"/>
          <w:szCs w:val="22"/>
        </w:rPr>
      </w:pPr>
      <w:r w:rsidRPr="003F6F60">
        <w:rPr>
          <w:rFonts w:ascii="Arial" w:hAnsi="Arial" w:cs="Arial"/>
          <w:sz w:val="22"/>
          <w:szCs w:val="22"/>
        </w:rPr>
        <w:t xml:space="preserve">There would also be an unfair advantage to Plan 2 employees with inflated salaries as they would receive greater VRS and Social Security benefits as the base salary is used in these retirement calculations.  </w:t>
      </w:r>
    </w:p>
    <w:p w:rsidR="00CD17D0" w:rsidRPr="003F6F60" w:rsidRDefault="00CD17D0" w:rsidP="00CD17D0">
      <w:pPr>
        <w:rPr>
          <w:rFonts w:ascii="Arial" w:hAnsi="Arial" w:cs="Arial"/>
          <w:sz w:val="22"/>
          <w:szCs w:val="22"/>
        </w:rPr>
      </w:pPr>
    </w:p>
    <w:p w:rsidR="00CD17D0" w:rsidRPr="003F6F60" w:rsidRDefault="00CD17D0" w:rsidP="00CD17D0">
      <w:pPr>
        <w:pStyle w:val="ListParagraph"/>
        <w:numPr>
          <w:ilvl w:val="0"/>
          <w:numId w:val="8"/>
        </w:numPr>
        <w:contextualSpacing w:val="0"/>
        <w:rPr>
          <w:rFonts w:ascii="Arial" w:hAnsi="Arial" w:cs="Arial"/>
          <w:sz w:val="22"/>
          <w:szCs w:val="22"/>
        </w:rPr>
      </w:pPr>
      <w:r w:rsidRPr="003F6F60">
        <w:rPr>
          <w:rFonts w:ascii="Arial" w:hAnsi="Arial" w:cs="Arial"/>
          <w:sz w:val="22"/>
          <w:szCs w:val="22"/>
        </w:rPr>
        <w:t>It would become harder to determine if Albemarle County salaries are market-competitive as we would need to factor two different salary scales in to benchmarking against our adopted market.</w:t>
      </w:r>
    </w:p>
    <w:p w:rsidR="00CD17D0" w:rsidRPr="003F6F60" w:rsidRDefault="00CD17D0" w:rsidP="00CD17D0">
      <w:pPr>
        <w:rPr>
          <w:rFonts w:ascii="Arial" w:hAnsi="Arial" w:cs="Arial"/>
          <w:sz w:val="22"/>
          <w:szCs w:val="22"/>
        </w:rPr>
      </w:pPr>
    </w:p>
    <w:p w:rsidR="00CD17D0" w:rsidRPr="003F6F60" w:rsidRDefault="00CD17D0" w:rsidP="00CD17D0">
      <w:pPr>
        <w:pStyle w:val="ListParagraph"/>
        <w:numPr>
          <w:ilvl w:val="0"/>
          <w:numId w:val="8"/>
        </w:numPr>
        <w:contextualSpacing w:val="0"/>
        <w:rPr>
          <w:rFonts w:ascii="Arial" w:hAnsi="Arial" w:cs="Arial"/>
          <w:sz w:val="22"/>
          <w:szCs w:val="22"/>
        </w:rPr>
      </w:pPr>
      <w:r w:rsidRPr="003F6F60">
        <w:rPr>
          <w:rFonts w:ascii="Arial" w:hAnsi="Arial" w:cs="Arial"/>
          <w:sz w:val="22"/>
          <w:szCs w:val="22"/>
        </w:rPr>
        <w:t xml:space="preserve">Some employees, particularly in the School Division, switch between being VRS-eligible and ineligible frequently; their salaries would have to be adjusted each time to compensate for this, which is both a high administrative burden to the employer and difficult to explain to the employee.  </w:t>
      </w:r>
    </w:p>
    <w:p w:rsidR="00CD17D0" w:rsidRPr="003F6F60" w:rsidRDefault="00CD17D0" w:rsidP="00CD17D0">
      <w:pPr>
        <w:rPr>
          <w:rFonts w:ascii="Arial" w:hAnsi="Arial" w:cs="Arial"/>
          <w:sz w:val="22"/>
          <w:szCs w:val="22"/>
        </w:rPr>
      </w:pPr>
    </w:p>
    <w:p w:rsidR="00CD17D0" w:rsidRDefault="00CD17D0" w:rsidP="00CD17D0">
      <w:pPr>
        <w:pStyle w:val="ListParagraph"/>
        <w:numPr>
          <w:ilvl w:val="0"/>
          <w:numId w:val="8"/>
        </w:numPr>
        <w:contextualSpacing w:val="0"/>
      </w:pPr>
      <w:r w:rsidRPr="003F6F60">
        <w:rPr>
          <w:rFonts w:ascii="Arial" w:hAnsi="Arial" w:cs="Arial"/>
          <w:sz w:val="22"/>
          <w:szCs w:val="22"/>
        </w:rPr>
        <w:t>Even for employees who do not switch back and forth, the perception will inevitably be that there is inequity between the two salary scales and communication around this would be a challenge</w:t>
      </w:r>
      <w:r>
        <w:t>.</w:t>
      </w:r>
    </w:p>
    <w:p w:rsidR="00CD17D0" w:rsidRDefault="00CD17D0" w:rsidP="00CD17D0">
      <w:pPr>
        <w:widowControl/>
        <w:jc w:val="both"/>
        <w:rPr>
          <w:rFonts w:ascii="Arial" w:hAnsi="Arial" w:cs="Arial"/>
          <w:sz w:val="22"/>
        </w:rPr>
      </w:pPr>
    </w:p>
    <w:p w:rsidR="00C922D1" w:rsidRDefault="00C922D1" w:rsidP="00C922D1">
      <w:pPr>
        <w:rPr>
          <w:rFonts w:ascii="Arial" w:hAnsi="Arial" w:cs="Arial"/>
          <w:sz w:val="22"/>
          <w:szCs w:val="22"/>
        </w:rPr>
      </w:pPr>
      <w:r>
        <w:rPr>
          <w:rFonts w:ascii="Arial" w:hAnsi="Arial" w:cs="Arial"/>
          <w:sz w:val="22"/>
          <w:szCs w:val="22"/>
        </w:rPr>
        <w:t xml:space="preserve">Defined benefit plans such as VRS continue to remain the trend in public sector retirement plans at this time. Therefore, </w:t>
      </w:r>
      <w:r>
        <w:rPr>
          <w:rFonts w:ascii="Arial" w:hAnsi="Arial" w:cs="Arial"/>
          <w:sz w:val="22"/>
        </w:rPr>
        <w:t xml:space="preserve">to remain consistent with the Joint Board approved Total Compensation target for benefits to be slightly above our adopted market, it is recommended that Albemarle County fund the employee member contribution.  Due to the other VRS plan design changes implemented in July, there are already inequities between VRS Plan 1 and Plan 2 employees.  However, these differences are not as disparate as requiring the member contribution to be paid by the employee. </w:t>
      </w:r>
      <w:r w:rsidRPr="00C4658A">
        <w:rPr>
          <w:rFonts w:ascii="Arial" w:hAnsi="Arial" w:cs="Arial"/>
          <w:sz w:val="22"/>
          <w:szCs w:val="22"/>
        </w:rPr>
        <w:t>Requiring new employees</w:t>
      </w:r>
      <w:r>
        <w:rPr>
          <w:rFonts w:ascii="Arial" w:hAnsi="Arial" w:cs="Arial"/>
          <w:sz w:val="22"/>
          <w:szCs w:val="22"/>
        </w:rPr>
        <w:t xml:space="preserve"> with no prior VRS service </w:t>
      </w:r>
      <w:r w:rsidRPr="00C4658A">
        <w:rPr>
          <w:rFonts w:ascii="Arial" w:hAnsi="Arial" w:cs="Arial"/>
          <w:sz w:val="22"/>
          <w:szCs w:val="22"/>
        </w:rPr>
        <w:t>to pay a portion of the contribution creates equity issues with regard to total compensation</w:t>
      </w:r>
      <w:r>
        <w:rPr>
          <w:rFonts w:ascii="Arial" w:hAnsi="Arial" w:cs="Arial"/>
          <w:sz w:val="22"/>
          <w:szCs w:val="22"/>
        </w:rPr>
        <w:t xml:space="preserve">.  </w:t>
      </w:r>
    </w:p>
    <w:p w:rsidR="00652924" w:rsidRDefault="00652924"/>
    <w:sectPr w:rsidR="00652924" w:rsidSect="000F6A7B">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FCD" w:rsidRDefault="001A4FCD" w:rsidP="00601444">
      <w:r>
        <w:separator/>
      </w:r>
    </w:p>
  </w:endnote>
  <w:endnote w:type="continuationSeparator" w:id="0">
    <w:p w:rsidR="001A4FCD" w:rsidRDefault="001A4FCD" w:rsidP="00601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FCD" w:rsidRDefault="001A4FCD" w:rsidP="00601444">
      <w:r>
        <w:separator/>
      </w:r>
    </w:p>
  </w:footnote>
  <w:footnote w:type="continuationSeparator" w:id="0">
    <w:p w:rsidR="001A4FCD" w:rsidRDefault="001A4FCD" w:rsidP="00601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FCD" w:rsidRDefault="001A4FCD">
    <w:pPr>
      <w:pStyle w:val="Header"/>
    </w:pPr>
    <w:r>
      <w:t>Attachment 4</w:t>
    </w:r>
  </w:p>
  <w:p w:rsidR="001A4FCD" w:rsidRDefault="001A4F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B7907"/>
    <w:multiLevelType w:val="hybridMultilevel"/>
    <w:tmpl w:val="94EA73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B2C51EC"/>
    <w:multiLevelType w:val="hybridMultilevel"/>
    <w:tmpl w:val="2CCE3C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0706A9"/>
    <w:multiLevelType w:val="hybridMultilevel"/>
    <w:tmpl w:val="41061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53634B"/>
    <w:multiLevelType w:val="hybridMultilevel"/>
    <w:tmpl w:val="0C3829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871A05"/>
    <w:multiLevelType w:val="hybridMultilevel"/>
    <w:tmpl w:val="BF06CA08"/>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5">
    <w:nsid w:val="4CDA7A77"/>
    <w:multiLevelType w:val="hybridMultilevel"/>
    <w:tmpl w:val="EC0C13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5A2131"/>
    <w:multiLevelType w:val="hybridMultilevel"/>
    <w:tmpl w:val="D1E86C62"/>
    <w:lvl w:ilvl="0" w:tplc="04090001">
      <w:start w:val="1"/>
      <w:numFmt w:val="bullet"/>
      <w:lvlText w:val=""/>
      <w:lvlJc w:val="left"/>
      <w:pPr>
        <w:ind w:left="9360" w:hanging="360"/>
      </w:pPr>
      <w:rPr>
        <w:rFonts w:ascii="Symbol" w:hAnsi="Symbol" w:hint="default"/>
      </w:rPr>
    </w:lvl>
    <w:lvl w:ilvl="1" w:tplc="04090003" w:tentative="1">
      <w:start w:val="1"/>
      <w:numFmt w:val="bullet"/>
      <w:lvlText w:val="o"/>
      <w:lvlJc w:val="left"/>
      <w:pPr>
        <w:ind w:left="10080" w:hanging="360"/>
      </w:pPr>
      <w:rPr>
        <w:rFonts w:ascii="Courier New" w:hAnsi="Courier New" w:cs="Courier New" w:hint="default"/>
      </w:rPr>
    </w:lvl>
    <w:lvl w:ilvl="2" w:tplc="04090005" w:tentative="1">
      <w:start w:val="1"/>
      <w:numFmt w:val="bullet"/>
      <w:lvlText w:val=""/>
      <w:lvlJc w:val="left"/>
      <w:pPr>
        <w:ind w:left="10800" w:hanging="360"/>
      </w:pPr>
      <w:rPr>
        <w:rFonts w:ascii="Wingdings" w:hAnsi="Wingdings" w:hint="default"/>
      </w:rPr>
    </w:lvl>
    <w:lvl w:ilvl="3" w:tplc="04090001" w:tentative="1">
      <w:start w:val="1"/>
      <w:numFmt w:val="bullet"/>
      <w:lvlText w:val=""/>
      <w:lvlJc w:val="left"/>
      <w:pPr>
        <w:ind w:left="11520" w:hanging="360"/>
      </w:pPr>
      <w:rPr>
        <w:rFonts w:ascii="Symbol" w:hAnsi="Symbol" w:hint="default"/>
      </w:rPr>
    </w:lvl>
    <w:lvl w:ilvl="4" w:tplc="04090003" w:tentative="1">
      <w:start w:val="1"/>
      <w:numFmt w:val="bullet"/>
      <w:lvlText w:val="o"/>
      <w:lvlJc w:val="left"/>
      <w:pPr>
        <w:ind w:left="12240" w:hanging="360"/>
      </w:pPr>
      <w:rPr>
        <w:rFonts w:ascii="Courier New" w:hAnsi="Courier New" w:cs="Courier New" w:hint="default"/>
      </w:rPr>
    </w:lvl>
    <w:lvl w:ilvl="5" w:tplc="04090005" w:tentative="1">
      <w:start w:val="1"/>
      <w:numFmt w:val="bullet"/>
      <w:lvlText w:val=""/>
      <w:lvlJc w:val="left"/>
      <w:pPr>
        <w:ind w:left="12960" w:hanging="360"/>
      </w:pPr>
      <w:rPr>
        <w:rFonts w:ascii="Wingdings" w:hAnsi="Wingdings" w:hint="default"/>
      </w:rPr>
    </w:lvl>
    <w:lvl w:ilvl="6" w:tplc="04090001" w:tentative="1">
      <w:start w:val="1"/>
      <w:numFmt w:val="bullet"/>
      <w:lvlText w:val=""/>
      <w:lvlJc w:val="left"/>
      <w:pPr>
        <w:ind w:left="13680" w:hanging="360"/>
      </w:pPr>
      <w:rPr>
        <w:rFonts w:ascii="Symbol" w:hAnsi="Symbol" w:hint="default"/>
      </w:rPr>
    </w:lvl>
    <w:lvl w:ilvl="7" w:tplc="04090003" w:tentative="1">
      <w:start w:val="1"/>
      <w:numFmt w:val="bullet"/>
      <w:lvlText w:val="o"/>
      <w:lvlJc w:val="left"/>
      <w:pPr>
        <w:ind w:left="14400" w:hanging="360"/>
      </w:pPr>
      <w:rPr>
        <w:rFonts w:ascii="Courier New" w:hAnsi="Courier New" w:cs="Courier New" w:hint="default"/>
      </w:rPr>
    </w:lvl>
    <w:lvl w:ilvl="8" w:tplc="04090005" w:tentative="1">
      <w:start w:val="1"/>
      <w:numFmt w:val="bullet"/>
      <w:lvlText w:val=""/>
      <w:lvlJc w:val="left"/>
      <w:pPr>
        <w:ind w:left="15120" w:hanging="360"/>
      </w:pPr>
      <w:rPr>
        <w:rFonts w:ascii="Wingdings" w:hAnsi="Wingdings" w:hint="default"/>
      </w:rPr>
    </w:lvl>
  </w:abstractNum>
  <w:abstractNum w:abstractNumId="7">
    <w:nsid w:val="58186588"/>
    <w:multiLevelType w:val="hybridMultilevel"/>
    <w:tmpl w:val="B35AEF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3"/>
  </w:num>
  <w:num w:numId="4">
    <w:abstractNumId w:val="5"/>
  </w:num>
  <w:num w:numId="5">
    <w:abstractNumId w:val="1"/>
  </w:num>
  <w:num w:numId="6">
    <w:abstractNumId w:val="7"/>
  </w:num>
  <w:num w:numId="7">
    <w:abstractNumId w:val="2"/>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trackRevisions/>
  <w:defaultTabStop w:val="720"/>
  <w:characterSpacingControl w:val="doNotCompress"/>
  <w:footnotePr>
    <w:footnote w:id="-1"/>
    <w:footnote w:id="0"/>
  </w:footnotePr>
  <w:endnotePr>
    <w:endnote w:id="-1"/>
    <w:endnote w:id="0"/>
  </w:endnotePr>
  <w:compat/>
  <w:rsids>
    <w:rsidRoot w:val="00CD17D0"/>
    <w:rsid w:val="00034FD4"/>
    <w:rsid w:val="00040CDC"/>
    <w:rsid w:val="000A325E"/>
    <w:rsid w:val="000D1F87"/>
    <w:rsid w:val="000F6A7B"/>
    <w:rsid w:val="00124F1A"/>
    <w:rsid w:val="00133D80"/>
    <w:rsid w:val="00153389"/>
    <w:rsid w:val="00166A04"/>
    <w:rsid w:val="001A4FCD"/>
    <w:rsid w:val="001A7100"/>
    <w:rsid w:val="001F662C"/>
    <w:rsid w:val="00214BB1"/>
    <w:rsid w:val="002445FD"/>
    <w:rsid w:val="00280625"/>
    <w:rsid w:val="002A638B"/>
    <w:rsid w:val="0032283D"/>
    <w:rsid w:val="0033745F"/>
    <w:rsid w:val="00367DB8"/>
    <w:rsid w:val="00455F62"/>
    <w:rsid w:val="004D6DBD"/>
    <w:rsid w:val="004E6395"/>
    <w:rsid w:val="004F68D1"/>
    <w:rsid w:val="00530546"/>
    <w:rsid w:val="005761EE"/>
    <w:rsid w:val="00584529"/>
    <w:rsid w:val="005B7683"/>
    <w:rsid w:val="00601444"/>
    <w:rsid w:val="00626B41"/>
    <w:rsid w:val="0063525F"/>
    <w:rsid w:val="00652924"/>
    <w:rsid w:val="006A638F"/>
    <w:rsid w:val="007C613B"/>
    <w:rsid w:val="00812182"/>
    <w:rsid w:val="00826B4B"/>
    <w:rsid w:val="0084520E"/>
    <w:rsid w:val="008C4EBE"/>
    <w:rsid w:val="0096784C"/>
    <w:rsid w:val="009824D7"/>
    <w:rsid w:val="00994206"/>
    <w:rsid w:val="009B6E15"/>
    <w:rsid w:val="00A136FA"/>
    <w:rsid w:val="00A14A0D"/>
    <w:rsid w:val="00A4105E"/>
    <w:rsid w:val="00A46D81"/>
    <w:rsid w:val="00A673D6"/>
    <w:rsid w:val="00B009CF"/>
    <w:rsid w:val="00B24E31"/>
    <w:rsid w:val="00BC1133"/>
    <w:rsid w:val="00BE0053"/>
    <w:rsid w:val="00C37E94"/>
    <w:rsid w:val="00C922D1"/>
    <w:rsid w:val="00CA0FAD"/>
    <w:rsid w:val="00CA3A6A"/>
    <w:rsid w:val="00CD17D0"/>
    <w:rsid w:val="00D26387"/>
    <w:rsid w:val="00D340E1"/>
    <w:rsid w:val="00D35145"/>
    <w:rsid w:val="00D53CA4"/>
    <w:rsid w:val="00D70423"/>
    <w:rsid w:val="00D85E1D"/>
    <w:rsid w:val="00DC387B"/>
    <w:rsid w:val="00E20993"/>
    <w:rsid w:val="00E56294"/>
    <w:rsid w:val="00E84E65"/>
    <w:rsid w:val="00ED064E"/>
    <w:rsid w:val="00F858DE"/>
    <w:rsid w:val="00F94F83"/>
    <w:rsid w:val="00FD20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7D0"/>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D17D0"/>
    <w:pPr>
      <w:spacing w:after="120"/>
    </w:pPr>
    <w:rPr>
      <w:sz w:val="16"/>
      <w:szCs w:val="16"/>
    </w:rPr>
  </w:style>
  <w:style w:type="character" w:customStyle="1" w:styleId="BodyText3Char">
    <w:name w:val="Body Text 3 Char"/>
    <w:basedOn w:val="DefaultParagraphFont"/>
    <w:link w:val="BodyText3"/>
    <w:rsid w:val="00CD17D0"/>
    <w:rPr>
      <w:rFonts w:ascii="Courier New" w:eastAsia="Times New Roman" w:hAnsi="Courier New" w:cs="Times New Roman"/>
      <w:sz w:val="16"/>
      <w:szCs w:val="16"/>
    </w:rPr>
  </w:style>
  <w:style w:type="paragraph" w:styleId="ListParagraph">
    <w:name w:val="List Paragraph"/>
    <w:basedOn w:val="Normal"/>
    <w:uiPriority w:val="34"/>
    <w:qFormat/>
    <w:rsid w:val="00CD17D0"/>
    <w:pPr>
      <w:widowControl/>
      <w:snapToGrid/>
      <w:ind w:left="720"/>
      <w:contextualSpacing/>
    </w:pPr>
    <w:rPr>
      <w:rFonts w:ascii="Times New Roman" w:hAnsi="Times New Roman"/>
      <w:szCs w:val="24"/>
    </w:rPr>
  </w:style>
  <w:style w:type="paragraph" w:styleId="BalloonText">
    <w:name w:val="Balloon Text"/>
    <w:basedOn w:val="Normal"/>
    <w:link w:val="BalloonTextChar"/>
    <w:uiPriority w:val="99"/>
    <w:semiHidden/>
    <w:unhideWhenUsed/>
    <w:rsid w:val="00CD17D0"/>
    <w:rPr>
      <w:rFonts w:ascii="Tahoma" w:hAnsi="Tahoma" w:cs="Tahoma"/>
      <w:sz w:val="16"/>
      <w:szCs w:val="16"/>
    </w:rPr>
  </w:style>
  <w:style w:type="character" w:customStyle="1" w:styleId="BalloonTextChar">
    <w:name w:val="Balloon Text Char"/>
    <w:basedOn w:val="DefaultParagraphFont"/>
    <w:link w:val="BalloonText"/>
    <w:uiPriority w:val="99"/>
    <w:semiHidden/>
    <w:rsid w:val="00CD17D0"/>
    <w:rPr>
      <w:rFonts w:ascii="Tahoma" w:eastAsia="Times New Roman" w:hAnsi="Tahoma" w:cs="Tahoma"/>
      <w:sz w:val="16"/>
      <w:szCs w:val="16"/>
    </w:rPr>
  </w:style>
  <w:style w:type="paragraph" w:styleId="Header">
    <w:name w:val="header"/>
    <w:basedOn w:val="Normal"/>
    <w:link w:val="HeaderChar"/>
    <w:uiPriority w:val="99"/>
    <w:unhideWhenUsed/>
    <w:rsid w:val="00601444"/>
    <w:pPr>
      <w:tabs>
        <w:tab w:val="center" w:pos="4680"/>
        <w:tab w:val="right" w:pos="9360"/>
      </w:tabs>
    </w:pPr>
  </w:style>
  <w:style w:type="character" w:customStyle="1" w:styleId="HeaderChar">
    <w:name w:val="Header Char"/>
    <w:basedOn w:val="DefaultParagraphFont"/>
    <w:link w:val="Header"/>
    <w:uiPriority w:val="99"/>
    <w:rsid w:val="00601444"/>
    <w:rPr>
      <w:rFonts w:ascii="Courier New" w:eastAsia="Times New Roman" w:hAnsi="Courier New" w:cs="Times New Roman"/>
      <w:sz w:val="24"/>
      <w:szCs w:val="20"/>
    </w:rPr>
  </w:style>
  <w:style w:type="paragraph" w:styleId="Footer">
    <w:name w:val="footer"/>
    <w:basedOn w:val="Normal"/>
    <w:link w:val="FooterChar"/>
    <w:uiPriority w:val="99"/>
    <w:semiHidden/>
    <w:unhideWhenUsed/>
    <w:rsid w:val="00601444"/>
    <w:pPr>
      <w:tabs>
        <w:tab w:val="center" w:pos="4680"/>
        <w:tab w:val="right" w:pos="9360"/>
      </w:tabs>
    </w:pPr>
  </w:style>
  <w:style w:type="character" w:customStyle="1" w:styleId="FooterChar">
    <w:name w:val="Footer Char"/>
    <w:basedOn w:val="DefaultParagraphFont"/>
    <w:link w:val="Footer"/>
    <w:uiPriority w:val="99"/>
    <w:semiHidden/>
    <w:rsid w:val="00601444"/>
    <w:rPr>
      <w:rFonts w:ascii="Courier New" w:eastAsia="Times New Roman" w:hAnsi="Courier New"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lgerome\Local%20Settings\Temporary%20Internet%20Files\Content.Outlook\VYA20WVH\VRS%20adpoted%20mkt%20comps%2009292010%20(2).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bar"/>
        <c:grouping val="clustered"/>
        <c:ser>
          <c:idx val="0"/>
          <c:order val="0"/>
          <c:dPt>
            <c:idx val="0"/>
            <c:spPr>
              <a:solidFill>
                <a:schemeClr val="accent1">
                  <a:lumMod val="20000"/>
                  <a:lumOff val="80000"/>
                </a:schemeClr>
              </a:solidFill>
            </c:spPr>
          </c:dPt>
          <c:dPt>
            <c:idx val="1"/>
            <c:spPr>
              <a:solidFill>
                <a:schemeClr val="accent1">
                  <a:lumMod val="40000"/>
                  <a:lumOff val="60000"/>
                </a:schemeClr>
              </a:solidFill>
            </c:spPr>
          </c:dPt>
          <c:dPt>
            <c:idx val="2"/>
            <c:spPr>
              <a:solidFill>
                <a:schemeClr val="accent3">
                  <a:lumMod val="20000"/>
                  <a:lumOff val="80000"/>
                </a:schemeClr>
              </a:solidFill>
            </c:spPr>
          </c:dPt>
          <c:dPt>
            <c:idx val="3"/>
            <c:spPr>
              <a:solidFill>
                <a:schemeClr val="accent3">
                  <a:lumMod val="60000"/>
                  <a:lumOff val="40000"/>
                </a:schemeClr>
              </a:solidFill>
            </c:spPr>
          </c:dPt>
          <c:dPt>
            <c:idx val="4"/>
            <c:spPr>
              <a:solidFill>
                <a:schemeClr val="accent4">
                  <a:lumMod val="20000"/>
                  <a:lumOff val="80000"/>
                </a:schemeClr>
              </a:solidFill>
            </c:spPr>
          </c:dPt>
          <c:dPt>
            <c:idx val="5"/>
            <c:spPr>
              <a:solidFill>
                <a:schemeClr val="accent4">
                  <a:lumMod val="60000"/>
                  <a:lumOff val="40000"/>
                </a:schemeClr>
              </a:solidFill>
            </c:spPr>
          </c:dPt>
          <c:dLbls>
            <c:dLbl>
              <c:idx val="0"/>
              <c:layout>
                <c:manualLayout>
                  <c:x val="-2.5000000000000015E-2"/>
                  <c:y val="8.4875562720134134E-17"/>
                </c:manualLayout>
              </c:layout>
              <c:tx>
                <c:rich>
                  <a:bodyPr/>
                  <a:lstStyle/>
                  <a:p>
                    <a:r>
                      <a:rPr lang="en-US"/>
                      <a:t>1</a:t>
                    </a:r>
                  </a:p>
                </c:rich>
              </c:tx>
              <c:showVal val="1"/>
            </c:dLbl>
            <c:dLbl>
              <c:idx val="1"/>
              <c:layout>
                <c:manualLayout>
                  <c:x val="-5.0000000000000031E-2"/>
                  <c:y val="-3.6453776611257089E-7"/>
                </c:manualLayout>
              </c:layout>
              <c:tx>
                <c:rich>
                  <a:bodyPr/>
                  <a:lstStyle/>
                  <a:p>
                    <a:r>
                      <a:rPr lang="en-US"/>
                      <a:t>25</a:t>
                    </a:r>
                  </a:p>
                </c:rich>
              </c:tx>
              <c:showVal val="1"/>
            </c:dLbl>
            <c:dLbl>
              <c:idx val="2"/>
              <c:layout>
                <c:manualLayout>
                  <c:x val="-5.8333333333333487E-2"/>
                  <c:y val="0"/>
                </c:manualLayout>
              </c:layout>
              <c:tx>
                <c:rich>
                  <a:bodyPr/>
                  <a:lstStyle/>
                  <a:p>
                    <a:r>
                      <a:rPr lang="en-US"/>
                      <a:t>10</a:t>
                    </a:r>
                  </a:p>
                </c:rich>
              </c:tx>
              <c:showVal val="1"/>
            </c:dLbl>
            <c:dLbl>
              <c:idx val="3"/>
              <c:layout>
                <c:manualLayout>
                  <c:x val="-5.2777777777777882E-2"/>
                  <c:y val="0"/>
                </c:manualLayout>
              </c:layout>
              <c:tx>
                <c:rich>
                  <a:bodyPr/>
                  <a:lstStyle/>
                  <a:p>
                    <a:r>
                      <a:rPr lang="en-US"/>
                      <a:t>17</a:t>
                    </a:r>
                  </a:p>
                </c:rich>
              </c:tx>
              <c:showVal val="1"/>
            </c:dLbl>
            <c:dLbl>
              <c:idx val="4"/>
              <c:layout>
                <c:manualLayout>
                  <c:x val="-4.4444444444444522E-2"/>
                  <c:y val="0"/>
                </c:manualLayout>
              </c:layout>
              <c:tx>
                <c:rich>
                  <a:bodyPr/>
                  <a:lstStyle/>
                  <a:p>
                    <a:r>
                      <a:rPr lang="en-US"/>
                      <a:t>11</a:t>
                    </a:r>
                  </a:p>
                </c:rich>
              </c:tx>
              <c:showVal val="1"/>
            </c:dLbl>
            <c:dLbl>
              <c:idx val="5"/>
              <c:layout>
                <c:manualLayout>
                  <c:x val="-5.2777777777777812E-2"/>
                  <c:y val="-4.6296296296296406E-3"/>
                </c:manualLayout>
              </c:layout>
              <c:tx>
                <c:rich>
                  <a:bodyPr/>
                  <a:lstStyle/>
                  <a:p>
                    <a:r>
                      <a:rPr lang="en-US"/>
                      <a:t>42</a:t>
                    </a:r>
                  </a:p>
                </c:rich>
              </c:tx>
              <c:showVal val="1"/>
            </c:dLbl>
            <c:delete val="1"/>
          </c:dLbls>
          <c:cat>
            <c:multiLvlStrRef>
              <c:f>('adopted market'!$A$28:$B$29,'adopted market'!$A$58:$B$62)</c:f>
              <c:multiLvlStrCache>
                <c:ptCount val="6"/>
                <c:lvl>
                  <c:pt idx="0">
                    <c:v>Member Paid</c:v>
                  </c:pt>
                  <c:pt idx="1">
                    <c:v>Employer Paid</c:v>
                  </c:pt>
                  <c:pt idx="2">
                    <c:v>Member Paid</c:v>
                  </c:pt>
                  <c:pt idx="3">
                    <c:v>Employer Paid</c:v>
                  </c:pt>
                  <c:pt idx="4">
                    <c:v>Member Paid</c:v>
                  </c:pt>
                  <c:pt idx="5">
                    <c:v>Employer Paid</c:v>
                  </c:pt>
                </c:lvl>
                <c:lvl>
                  <c:pt idx="0">
                    <c:v>School Boards</c:v>
                  </c:pt>
                  <c:pt idx="2">
                    <c:v>Govt. Entities</c:v>
                  </c:pt>
                  <c:pt idx="4">
                    <c:v>Total Adopted Market</c:v>
                  </c:pt>
                </c:lvl>
              </c:multiLvlStrCache>
            </c:multiLvlStrRef>
          </c:cat>
          <c:val>
            <c:numRef>
              <c:f>('adopted market'!$D$28:$D$29,'adopted market'!$D$58:$D$62)</c:f>
              <c:numCache>
                <c:formatCode>0%</c:formatCode>
                <c:ptCount val="6"/>
                <c:pt idx="0">
                  <c:v>3.8461538461538484E-2</c:v>
                </c:pt>
                <c:pt idx="1">
                  <c:v>0.96153846153846168</c:v>
                </c:pt>
                <c:pt idx="2">
                  <c:v>0.37037037037037079</c:v>
                </c:pt>
                <c:pt idx="3">
                  <c:v>0.62962962962963043</c:v>
                </c:pt>
                <c:pt idx="4">
                  <c:v>0.20754716981132101</c:v>
                </c:pt>
                <c:pt idx="5">
                  <c:v>0.79245283018867962</c:v>
                </c:pt>
              </c:numCache>
            </c:numRef>
          </c:val>
        </c:ser>
        <c:shape val="box"/>
        <c:axId val="77195520"/>
        <c:axId val="81096704"/>
        <c:axId val="0"/>
      </c:bar3DChart>
      <c:catAx>
        <c:axId val="77195520"/>
        <c:scaling>
          <c:orientation val="minMax"/>
        </c:scaling>
        <c:axPos val="l"/>
        <c:tickLblPos val="nextTo"/>
        <c:crossAx val="81096704"/>
        <c:crosses val="autoZero"/>
        <c:auto val="1"/>
        <c:lblAlgn val="ctr"/>
        <c:lblOffset val="100"/>
      </c:catAx>
      <c:valAx>
        <c:axId val="81096704"/>
        <c:scaling>
          <c:orientation val="minMax"/>
        </c:scaling>
        <c:axPos val="b"/>
        <c:majorGridlines/>
        <c:numFmt formatCode="0%" sourceLinked="1"/>
        <c:tickLblPos val="nextTo"/>
        <c:crossAx val="77195520"/>
        <c:crosses val="autoZero"/>
        <c:crossBetween val="between"/>
      </c:valAx>
    </c:plotArea>
    <c:plotVisOnly val="1"/>
  </c:chart>
  <c:spPr>
    <a:solidFill>
      <a:schemeClr val="bg1">
        <a:lumMod val="85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tx>
            <c:strRef>
              <c:f>'Sheet1'!$B$1</c:f>
              <c:strCache>
                <c:ptCount val="1"/>
                <c:pt idx="0">
                  <c:v>Employer  funds member contribution</c:v>
                </c:pt>
              </c:strCache>
            </c:strRef>
          </c:tx>
          <c:cat>
            <c:strRef>
              <c:f>'Sheet1'!$A$2:$A$3</c:f>
              <c:strCache>
                <c:ptCount val="2"/>
                <c:pt idx="0">
                  <c:v>131 School Divisions</c:v>
                </c:pt>
                <c:pt idx="1">
                  <c:v>141 Local Governments</c:v>
                </c:pt>
              </c:strCache>
            </c:strRef>
          </c:cat>
          <c:val>
            <c:numRef>
              <c:f>'Sheet1'!$B$2:$B$3</c:f>
              <c:numCache>
                <c:formatCode>General</c:formatCode>
                <c:ptCount val="2"/>
                <c:pt idx="0">
                  <c:v>124</c:v>
                </c:pt>
                <c:pt idx="1">
                  <c:v>111</c:v>
                </c:pt>
              </c:numCache>
            </c:numRef>
          </c:val>
        </c:ser>
        <c:ser>
          <c:idx val="1"/>
          <c:order val="1"/>
          <c:tx>
            <c:strRef>
              <c:f>'Sheet1'!$C$1</c:f>
              <c:strCache>
                <c:ptCount val="1"/>
                <c:pt idx="0">
                  <c:v>Employee contributes</c:v>
                </c:pt>
              </c:strCache>
            </c:strRef>
          </c:tx>
          <c:cat>
            <c:strRef>
              <c:f>'Sheet1'!$A$2:$A$3</c:f>
              <c:strCache>
                <c:ptCount val="2"/>
                <c:pt idx="0">
                  <c:v>131 School Divisions</c:v>
                </c:pt>
                <c:pt idx="1">
                  <c:v>141 Local Governments</c:v>
                </c:pt>
              </c:strCache>
            </c:strRef>
          </c:cat>
          <c:val>
            <c:numRef>
              <c:f>'Sheet1'!$C$2:$C$3</c:f>
              <c:numCache>
                <c:formatCode>General</c:formatCode>
                <c:ptCount val="2"/>
                <c:pt idx="0">
                  <c:v>7</c:v>
                </c:pt>
                <c:pt idx="1">
                  <c:v>30</c:v>
                </c:pt>
              </c:numCache>
            </c:numRef>
          </c:val>
        </c:ser>
        <c:axId val="81364480"/>
        <c:axId val="81366016"/>
      </c:barChart>
      <c:catAx>
        <c:axId val="81364480"/>
        <c:scaling>
          <c:orientation val="minMax"/>
        </c:scaling>
        <c:axPos val="l"/>
        <c:tickLblPos val="nextTo"/>
        <c:crossAx val="81366016"/>
        <c:crosses val="autoZero"/>
        <c:auto val="1"/>
        <c:lblAlgn val="ctr"/>
        <c:lblOffset val="100"/>
      </c:catAx>
      <c:valAx>
        <c:axId val="81366016"/>
        <c:scaling>
          <c:orientation val="minMax"/>
        </c:scaling>
        <c:axPos val="b"/>
        <c:majorGridlines/>
        <c:numFmt formatCode="General" sourceLinked="1"/>
        <c:tickLblPos val="nextTo"/>
        <c:spPr>
          <a:ln cmpd="thickThin"/>
        </c:spPr>
        <c:crossAx val="81364480"/>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B9D627F5C05F42902E504789E0FF10" ma:contentTypeVersion="1" ma:contentTypeDescription="Create a new document." ma:contentTypeScope="" ma:versionID="c049f3a1dcdf791ef28311c57a2f790e">
  <xsd:schema xmlns:xsd="http://www.w3.org/2001/XMLSchema" xmlns:p="http://schemas.microsoft.com/office/2006/metadata/properties" targetNamespace="http://schemas.microsoft.com/office/2006/metadata/properties" ma:root="true" ma:fieldsID="bbd91c885d0188e456295ff4cc461ef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1B19FDD-FE0A-4684-9C2A-50A84E8411F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054174AB-2F19-4CB1-AD07-59ADCC010C08}">
  <ds:schemaRefs>
    <ds:schemaRef ds:uri="http://schemas.microsoft.com/sharepoint/v3/contenttype/forms"/>
  </ds:schemaRefs>
</ds:datastoreItem>
</file>

<file path=customXml/itemProps3.xml><?xml version="1.0" encoding="utf-8"?>
<ds:datastoreItem xmlns:ds="http://schemas.openxmlformats.org/officeDocument/2006/customXml" ds:itemID="{AE01ACD3-42FB-4D07-8821-78B7143F0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10453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Gerome</dc:creator>
  <cp:keywords/>
  <dc:description/>
  <cp:lastModifiedBy>Lorna Gerome</cp:lastModifiedBy>
  <cp:revision>2</cp:revision>
  <cp:lastPrinted>2010-10-04T19:29:00Z</cp:lastPrinted>
  <dcterms:created xsi:type="dcterms:W3CDTF">2010-10-04T19:29:00Z</dcterms:created>
  <dcterms:modified xsi:type="dcterms:W3CDTF">2010-10-04T19:29:00Z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0x010100F3B9D627F5C05F42902E504789E0FF10</vt:lpwstr>
  </property>
</Properties>
</file>